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410" w:rsidRPr="00D46410" w:rsidRDefault="00D46410" w:rsidP="00D464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46410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3391535" cy="2265045"/>
            <wp:effectExtent l="0" t="0" r="0" b="1905"/>
            <wp:docPr id="63" name="Picture 6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10" w:rsidRPr="00D46410" w:rsidRDefault="00D46410" w:rsidP="00D46410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808080"/>
          <w:sz w:val="27"/>
          <w:szCs w:val="27"/>
          <w:lang w:eastAsia="ru-RU"/>
        </w:rPr>
        <w:t>Клинические рекомендации</w:t>
      </w:r>
    </w:p>
    <w:p w:rsidR="00D46410" w:rsidRPr="00D46410" w:rsidRDefault="00D46410" w:rsidP="00D46410">
      <w:pPr>
        <w:spacing w:before="750" w:after="16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Болезнь Помпе</w:t>
      </w:r>
    </w:p>
    <w:p w:rsidR="00D46410" w:rsidRPr="00D46410" w:rsidRDefault="00D46410" w:rsidP="00D46410">
      <w:pPr>
        <w:spacing w:after="150" w:line="240" w:lineRule="auto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808080"/>
          <w:sz w:val="27"/>
          <w:szCs w:val="27"/>
          <w:bdr w:val="none" w:sz="0" w:space="0" w:color="auto" w:frame="1"/>
          <w:lang w:eastAsia="ru-RU"/>
        </w:rPr>
        <w:t>МКБ 10:</w:t>
      </w: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E74.0</w:t>
      </w:r>
    </w:p>
    <w:p w:rsidR="00D46410" w:rsidRPr="00D46410" w:rsidRDefault="00D46410" w:rsidP="00D46410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808080"/>
          <w:sz w:val="27"/>
          <w:szCs w:val="27"/>
          <w:bdr w:val="none" w:sz="0" w:space="0" w:color="auto" w:frame="1"/>
          <w:lang w:eastAsia="ru-RU"/>
        </w:rPr>
        <w:t>Год утверждения (частота пересмотра):</w:t>
      </w: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2019</w:t>
      </w:r>
    </w:p>
    <w:p w:rsidR="00D46410" w:rsidRPr="00D46410" w:rsidRDefault="00D46410" w:rsidP="00D46410">
      <w:pPr>
        <w:spacing w:after="150" w:line="240" w:lineRule="auto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808080"/>
          <w:sz w:val="27"/>
          <w:szCs w:val="27"/>
          <w:bdr w:val="none" w:sz="0" w:space="0" w:color="auto" w:frame="1"/>
          <w:lang w:eastAsia="ru-RU"/>
        </w:rPr>
        <w:t>ID:</w:t>
      </w: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317</w:t>
      </w:r>
    </w:p>
    <w:p w:rsidR="00D46410" w:rsidRPr="00D46410" w:rsidRDefault="00D46410" w:rsidP="00D46410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808080"/>
          <w:sz w:val="27"/>
          <w:szCs w:val="27"/>
          <w:bdr w:val="none" w:sz="0" w:space="0" w:color="auto" w:frame="1"/>
          <w:lang w:eastAsia="ru-RU"/>
        </w:rPr>
        <w:t>URL</w:t>
      </w:r>
    </w:p>
    <w:p w:rsidR="00D46410" w:rsidRPr="00D46410" w:rsidRDefault="00D46410" w:rsidP="00D46410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808080"/>
          <w:sz w:val="27"/>
          <w:szCs w:val="27"/>
          <w:bdr w:val="none" w:sz="0" w:space="0" w:color="auto" w:frame="1"/>
          <w:lang w:eastAsia="ru-RU"/>
        </w:rPr>
        <w:t>Профессиональные ассоциации</w:t>
      </w:r>
    </w:p>
    <w:p w:rsidR="00D46410" w:rsidRPr="00D46410" w:rsidRDefault="00D46410" w:rsidP="00D46410">
      <w:pPr>
        <w:numPr>
          <w:ilvl w:val="0"/>
          <w:numId w:val="1"/>
        </w:numPr>
        <w:spacing w:after="15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Ассоциация медицинских генетиков · Союз педиатров России · РОО «Общество специалистов по нервно-мышечным заболеваниям»</w:t>
      </w:r>
    </w:p>
    <w:p w:rsidR="00D46410" w:rsidRPr="00D46410" w:rsidRDefault="00D46410" w:rsidP="00D46410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bdr w:val="none" w:sz="0" w:space="0" w:color="auto" w:frame="1"/>
          <w:lang w:eastAsia="ru-RU"/>
        </w:rPr>
        <w:t>Одобрено Научно-практическим Советом Минздрава РФ</w:t>
      </w:r>
    </w:p>
    <w:p w:rsidR="00FE4051" w:rsidRDefault="00FE4051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FE4051" w:rsidRDefault="00FE4051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FE4051" w:rsidRDefault="00FE4051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bookmarkStart w:id="0" w:name="_GoBack"/>
      <w:bookmarkEnd w:id="0"/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Оглавление</w:t>
      </w:r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6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Ключевые слова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7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Список сокращений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8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Термины и определения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9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1. Краткая информация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0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2. Диагностика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1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3. Лечение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2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4. Реабилитация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3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5. Профилактика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4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6. Дополнительная информация, влияющая на течение и исход заболевания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5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Критерии оценки качества медицинской помощи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6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Список литературы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7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А1. Состав рабочей группы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8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А2. Методология разработки клинических рекомендаций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19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А3. Связанные документы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20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Б. Алгоритмы ведения пациента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21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В. Информация для пациентов</w:t>
        </w:r>
      </w:hyperlink>
    </w:p>
    <w:p w:rsidR="00D46410" w:rsidRPr="00D46410" w:rsidRDefault="00D46410" w:rsidP="00D46410">
      <w:pPr>
        <w:numPr>
          <w:ilvl w:val="0"/>
          <w:numId w:val="2"/>
        </w:numPr>
        <w:spacing w:after="0" w:line="390" w:lineRule="atLeast"/>
        <w:ind w:left="315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kern w:val="36"/>
          <w:sz w:val="27"/>
          <w:szCs w:val="27"/>
          <w:lang w:eastAsia="ru-RU"/>
        </w:rPr>
      </w:pPr>
      <w:hyperlink r:id="rId22" w:history="1">
        <w:r w:rsidRPr="00D46410">
          <w:rPr>
            <w:rFonts w:ascii="inherit" w:eastAsia="Times New Roman" w:hAnsi="inherit" w:cs="Times New Roman"/>
            <w:b/>
            <w:bCs/>
            <w:color w:val="22A1DE"/>
            <w:kern w:val="36"/>
            <w:sz w:val="27"/>
            <w:szCs w:val="27"/>
            <w:u w:val="single"/>
            <w:bdr w:val="none" w:sz="0" w:space="0" w:color="auto" w:frame="1"/>
            <w:lang w:eastAsia="ru-RU"/>
          </w:rPr>
          <w:t>Приложение Г.</w:t>
        </w:r>
      </w:hyperlink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Ключевые слова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Список сокращений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АЛТ – аланинаминотрансфераза;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АСТ – аспартатаминотрансфераза;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БППН – болезнь Помпе с поздним началом;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БП – болезнь Помпе;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ЛБН  - лизосомные болезни накопления;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КАГ – кислая альфа-глюкозидаза;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КТ – компьютерная томография;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КФК - креатинфосфокиназа;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МБП  - младенческая форма болезни Помпе;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МРТ — магнитно-резонансная томография; 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УЗИ — ультразвуковое исследование;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ФЗТ — ферментная заместительная терапия; 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ЭКГ – электрокардиография; 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ЭНМГ – электронейромиография;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Эхо-КГ – эхокардиография;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Термины и определения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Ферментная заместительная терапия – лечение, заключающееся во введении препарата (рекомбинантного фермента) пациентам с наследственным нарушением метаболизма.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Лизосомные болезни накопления – группа наследственных моногенных заболеваний, связанных с нарушением функции лизосом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1. Краткая информация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1.1 Определение заболевания или состояния (группы заболеваний или состояний)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Гликогеноз II типа, или болезнь Помпе (БП), относится к редким наследственным болезням накопления (OMIM # 232300), связанным с дефицитом фермента кислой мальтазы (кислой альфа-глюкозидазы, КАГ) в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лизосомах. Преимущественное накопление гликогена отмечено в скелетных мышцах, но в разной степени может обнаруживаться и в других органах и тканях, включая сердечную мышцу, печень, нервную систему, гладкую мускулатуру и т.п. В литературе используются следующие общепринятые синонимы БП: болезнь накопления гликогена II типа (GSD-II); дефицит кислой мальтазы (AMD); гликогеноз II типа [1].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1.2 Этиология и патогенез заболевания или состояния (группы заболеваний или состояний)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БП обусловлена недостаточностью фермента кислой альфа-глюкозидазы (КАГ), который относится к группе лизосомных гидролаз. Ген GAA, кодирующий КАГ, локализован на длинном плече 17 хромосомы (17q25.2-q25.3), состоит из 20 экзонов и имеет размер около 20 000 пар нуклеотидов. Идентифицировано более 580 мутаций гена и их число постоянно растет [2]. Хотя некоторые мутации гена GAA встречаются преимущественно в определенной этнической группе, для большинства популяций отсутствуют так называемые «мажорные», составляющие сколько-нибудь значимую долю всех мутаций популяции и потому целесообразные для прицельного выявления.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Мутации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GAA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, приводят к разной степени дефицита фермента. Младенческая форма БП (МБП) развивается при значительном снижении или полном отсутствии активности КАГ, БП с поздним началом (БППН) – при менее выраженном дефиците активности КАГ, обусловленном «мягкими» мутациями гена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GAA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[1,3,4].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 Отложение или утилизация гликогена зависят от потребности организма в глюкозе. Биохимические превращения гликогена в печени способствуют поддержанию нормального уровня глюкозы в крови. В скелетных мышцах при метаболизме гликогена образуется глюкозо-6-фосфат участвующий в процессе окисления и продукции энергии, необходимой для нормальной работы мышц (ее сокращения и расслабления).     Отсутствие или значимый дефицит КАГ приводит к массивному накоплению гликогена в лизосоме и нарушению функции клеток. При БП, независимо от формы, гликоген может накапливаться практически в любых тканях, но при этом имеется преимущественное скопление гликогена в разных органах и тканях,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которое уже зависит от формы болезни. Так, при МБП гликоген накапливается в скелетной мускулатуре, сердечной мышце, печени, мышцах языка. Реже аномальные отложения гликогена могут встречаться в мышечном слое сосудистой стенки, определяя развитие аневризм и мальформаций, а также – в клетках центральной и периферической нервной системы [1,3,12]. При БППН, в отличие от МБП, больше всего страдает скелетная мускулатура, в то время, как поражение остальных органов и тканей встречается значительно реже и по тяжести поражения не сопоставимо с МБП [5,6].  БП характеризуется неуклонно прогрессирующим течением с разными вариантами прогрессирования. Диагностика БП, независимо от формы, основана на оценке клинических симптомов, данных инструментальных и лабораторных обследований.    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1.3 Эпидемиология заболевания или состояния (группы заболеваний или состояний)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Точная частота БП неизвестна. По данным разных авторов частота болезни, в зависимости от страны и этнической принадлежности, варьируют в диапазоне от 1:40.000 до 1:300.000 [7-11]. Например, в южном Китае и на Тайване частота классической младенческой (инфантильной) формы БП составляет 1:40.000-50.000, являясь самым частым гликогенозом. При рассмотрении данных по Тайваню отдельно, частота заболеваемости составила 1:33134 [10,11]. По результатам скрининга новорожденных по сухому пятну крови (СПК) в Австрии частота БП составила 1:8.684 [9]. В Голландии частота гликогеноза II типа у младенцев составляет 1:138.000, а формы БП с поздним началом - 1:57.000 [8].  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1.4 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Согласно МКБ10, заболевание относится к классу IV, болезням эндокринной системы, расстройству питания и нарушению обмена веществ, E74.0 - болезни накопления гликогенa (болезнь Помпе).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lastRenderedPageBreak/>
        <w:t>1.5 Классификация заболевания или состояния (группы заболеваний или состояний)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БП относится к гликогенозам - группе редких наследственных болезней нарушения метаболизма гликогена, связанных с изменением нескольких ферментов, вовлечённых в синтез и распад гликогена. Клинические появления болезни связаны с патологическим накоплением гликогена и продуктов его метаболизма в клетках. Сегодня выделяют восемь основных типов гликогенозов. БП относится к гликогенозу II типа - гликогенозу, связанному с недостаточностью лизосомной α-1,4 глюкозидазы, приводящей к избыточному накоплению гликогена нормальной химической структуры в сердце, скелетных мышцах, печени, мозге.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Всех пациентов с БП, независимо от времени начала, отличает неуклонно прогрессирующий характер течения болезни. Продолжающееся отложение гликогена в тканях-мишенях нарушает их функцию и, в конечном итоге, приводит к необратимым структурным изменениям тканей и гибели больного БП. БП характеризуется полиорганной патологией, но в зависимости от времени манифеста частота вовлечения тех или иных органов и систем также будет разной. Попытки классификации БП по данным литературы в зависимости от возраста начала, с выделением младенческой формы с дебютом на первом году жизни (с подразделением на раннюю, позднюю младенческую форму, форму с/без кардиомиопатии и т.п.), детскую, ювенильную и взрослую формы болезни не нашли единодушной поддержки специалистов.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 учетом единого патогенеза БП, выделяют только два варианта в зависимости от времени манифеста симптомов [1,3,12]: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Младенческая (инфантильная) БП (МБП) манифестирующая в период новорожденности или младенческом возрасте и БП с поздним началом (БППН).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1.6 Клиническая картина заболевания или состояния (группы заболеваний или состояний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Каждая из выделенных форм имеет свои особенности клиники, алгоритмов диагностики и тактики ведения пациентов.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МБП характеризуется тяжелым прогрессирующим течением и быстрым развитием полиорганной патологии - мышечной гипотонии и слабости, сердечной недостаточностью в результате гипертрофической кардиомиопатии, дыхательной недостаточностью на фоне слабости диафрагмы и межреберных мышц, нарушениями питания (трудности при вскармливании) из-за слабости лицевой мускулатуры и увеличения языка, увеличением печени. Смерть при МБП чаще всего наступает на первом году жизни от сердечно-дыхательной недостаточности.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БППН отличается от МБП более мягкими клиническими проявлениями и течением, отсутствием полиорганной патологии (поражение сердца крайне редко) и более поздними осложнениями со стороны дыхательной системы в результате слабости мышц диафрагмы и межреберной мускулатуры. Обычно пациенты погибают от дыхательной недостаточности и инфекционных легочных осложнений. Время гибели пациентов при БППН зависит от момента начала и последующего характера течения болезни и может наступить в детстве, юношеском, взрослом или преклонном возрасте. Более подробно клиническая картина выделенных форм рассмотрена ниже.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Клинические проявления младенческой формы болезни Помпе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Во всех случаях при подозрении на МБП обязательным является уточнение семейного анамнеза (выявление ранних смертей в семье, гибели детей в раннем детском возрасте, необычных мышечных проявлений, миопатии), с учетом развития полиорганной патологии показано расширенное лабораторное и инструментальное обследование.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Первые признаки и симптомы МБП появляются уже на 2-3 месяцах жизни. При осмотре на педиатрическом приеме обращает внимание мышечная гипотония и прогрессирующая мышечная слабость. Лицо ребенка приобретает характерный вид: рот приоткрыт, полость рта заполнена увеличенным языком (у 1/3 младенцев), мимика ослаблена. Мать часто жалуется на то, что ребенок стал плохо брать грудь и отстает в весе, быстро устает при сосании, плохо глотает. Дальнейший осмотр выявляет плотность мышц, обнаруживаются признаки дыхательной и сердечной недостаточности: бледность кожи, центральный и акроцианоз,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гипергидроз, стонущее дыхание, участие вспомогательной мускулатуры в акте дыхания, деформация грудной клетки по типу «сердечного горба», расширение границ относительной сердечной тупости, ослабление периферической пульсации, гепатомегалия, периферические отеки. Аускультативно в легких жесткое дыхание, часто - проводные хрипы, ослабление дыхания слева, тахипноэ; тоны сердца глухие, систолический шум над всей областью сердца, нарушение ритма сердца (тахикардия, брадикардия, желудочковая аритмия). Для классической МБП характерно развитие ателектазов легких у младенцев, в основном, - в нижней доле левого легкого. Печень увеличена. Рентгенологическое исследование грудной клетки выявляет кардиомегалию. При более позднем дебюте МБП - в анамнезе частые респираторные инфекции.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Неврологический осмотр обнаруживает выраженную задержку физического развития в виде нарушения формирования моторных навыков: снижена спонтанная и произвольная двигательная активность, ребенок не держит голову, не переворачивается самостоятельно, не сидит. Слабость проксимальных мышц в положении лежа придает ребенку характерную "позу лягушки", при попытке поднять его за руки голова откидывается назад. При удержании ребенка на руке - типичный вид "вялого ребенка". Возможна избирательная гипертрофия и пальпаторная плотность мышц нижних конечностей. Сухожильные рефлексы в дебюте могут быть сохранены, но по мере прогрессирования заболевания угасают.  В Приложении Г 1 представлены основные симптомы МПБ [1,3,12,14]. Достаточно часто к описанным выше изменениям присоединяются неспецифические нарушения в виде общего недомогания, раздражительности ребенка, повышенной потливости, рвоты и запоров. Редким, но настораживающим признаком полиорганной патологии является снижение слуха. В результате нарушения резорбции спинномозговой жидкости развивается гидроцефалия.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Клинические проявления болезни Помпе с поздним началом (БППН)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Младенческая форма БП отличается относительной гомогенностью клинических проявлений, чего нельзя сказать о БППН, что существенно затрудняет диагностику этой формы гликогеноза II типа. При одинаковом патогенезе младенческой и поздней форм БП  клинический спектр и тяжесть поражения разных органов и систем зависят от возраста пациента.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После относительно благополучного развития ребенка в младенчестве, при наличии БППН, заболевание может манифестировать в любом возрасте. Независимо от времени начала БППН, у детей или взрослых, заболевание носит неуклонно прогрессирующий характер, а выраженность мышечных и иных проявлений могут не коррелировать с темпом прогрессирования болезни.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При манифесте БППН в детском возрасте, но после первого года жизни (иногда в литературе эту форму БППН называют ювенильной, для того, чтобы подчеркнуть, что болезнь манифестировала в детстве, но после первого года жизни), обнаруживается миопатический синдром, умеренная органомегалия. Наблюдается задержка формирования двигательных навыков. Вовлечение в патологический процесс сердечной мышцы вариабельно, чаще развивается дыхательная недостаточность в результате слабости диафрагмы и межреберных мышц.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При осмотре пациента с БППН с дебютом в детском возрасте отмечены клинические симптомы (Приложение Г2), представленность которых может уменьшаться с возрастом ребенка, за исключением поражения скелетной и дыхательной мускулатуры [1, 15,16].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Следует отметить, что при БП с дебютом в детском возрасте в 95% случаев отмечается умеренное повышение уровня сывороточной креатинкиназы (КК) (в 2-10 раз), а значительное повышение (2000 Ед/Л и выше) характерно для МБП. По данным литературы активность сывороточной КК обратно пропорциональна возрасту (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ρ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= -0,71, р &lt;0,001), длительности болезни (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ρ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= -0,45, р &lt;0,001) и наличию атрофии мышц (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ρ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= -0,53, р &lt;0,001)[15].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Родители часто неправильно оценивают состояние ребенка, считая его "ленивым" и не обращаются к специалисту. В последующем у ребенка развивается нарушение осанки, появляется гиперлордоз, сколиоз, походка становится вперевалку (утиная походка). Мышц ног и тазового пояса поражаются больше, чем мышцы плечевого пояса. У детей часто развивается регионарная псевдогипертрофия мышц спины, а также симптомы ригидного позвоночника. Прогрессирование болезни приводит к нарушениям дыхания, чаще всего в форме ночных гиповентиляций, частых простудных заболеваний и аспирационной пневмонии. Ребенок может предъявлять жалобы на головную боль, в поведении отмечается быстрая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утомляемость и снижение устойчивости к привычным нагрузкам, в основном, - к бегу и другим активным играм.  Слабость мимических мышц, умеренный птоз (часто асимметричный) увеличение языка, снижение сухожильных рефлексов и остеопения также должны насторожить в плане наличия у ребенка БППН.  У детей, в отличие от младенцев, при БППН кардиомиопатия встречается значительно реже и практически никогда заболевание не проявляется патологией со стороны сердца.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БППН характеризуется гетерогенностью клинических проявлений, разным возрастом появления первых очевидных признаков и симптомов, разной скоростью прогрессирования болезни и выраженностью слабости мышц. При одинаковом генотипе время начала болезни может отличаться на десятилетия и различаться по всем перечисленным выше проявлениям.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Ретроспективный анализ жалоб пациентов с БППН показал, что первые проявления или признаки болезни, которые субъективно не рассматривались пациентом как отклонение от нормы, в 77% случаев касались трудностей при занятиях спортом (пациенты плохо бегали, не могли подтянуться на турнике), 28% быстро уставали при ходьбе по лестнице, 20% испытывали затруднения при вставании с низкого стула, 17% уставали при обычной ходьбе и 11% не могли встать из положения лежа на спине без помощи рук [6,17-23].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Таким образом, при подозрении на болезнь Помпе у взрослого пациента необходимо детально выяснить особенности двигательного развития в детском и юношеском возрасте.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Слабость мышц является основной жалобой у взрослых пациентов БППН. Слабость мышц конечностей является основной жалобой пациентов с БППН, обнаруживаемой в 93% случаев [22-23]. По паттерну распределения мышечной слабости отмечается несколько меньшая вариабельность между пациентами. В большинстве случаев максимальная слабость касается параспинальных мышц и мышц передней стенки живота, мышц проксимальных отделов ног и мышц плечевого пояса. Слабость проксимальных отделов преобладает над снижением силы в дистальных мышцах (если таковая наблюдается). Более того, в случае обнаружения слабости мышц конечностей и ее оценки через год после первого осмотра пациента, прогрессирующее снижение мышечной силы отмечено больше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для ног, чем для рук. В среднем, сила мышц ног падает на 7,1%, а рук - на 4% [22-23]. По характеру распределения мышечной слабости разные авторы отмечаются следующие закономерности. Описано большее симметричное вовлечение отводящих мышц бедер и ягодиц при относительной сохранности мышц сгибателей бедра, относительная сохранность мышц бедер по сравнению с мышцами тазового пояса и слабостью мышц разгибателей бедра. На ранних стадиях болезни изменения в мышцах могут проявляться только походкой вперевалку по типу "утиной походки" с гиперлордозом поясничного отдела. Слабость мышц плечевого пояса чаще всего обнаруживается при тестировании и носит диффузный характер. Пациенты могут не предъявлять жалоб на изменение силы мышц предплечий и кисти даже на далеко зашедших стадиях болезни, когда признаки первично-мышечного поражения по типу "миопатии поясов" становятся очевидными. Достаточно часто слабость и изменение объема (атрофии) мышц плечевого пояса могут быть асимметричными, что может проявляться в отставании лопатки от грудной клетки (крыловидной лопатки) только с одной стороны или значительной асимметрии данного симптома.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Как уже говорилось выше, параспинальные мышцы и мышцы передней стенки живота могут поражаться на самых ранних стадиях БППН, что приводит к быстрой утомляемости, снижению переносимости стандартных нагрузок как на ранних, так и развернутых стадиях болезни. Важным является обнаружение нарушения дыхательной функции вследствие слабости мышц диафрагмы и межреберных мышц. До 1/3 взрослых пациентов с БППН имеют нарушения со стороны дыхательной системы.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При осмотре рекомендуется тестирование мышц разных групп с выполнением простых заданий (Приложение Г 3), по результатам которых можно со значительной вероятностью обосновать необходимость обследования пациента на наличие БППН.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2. Диагностика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Диагноз БП устанавливается на основании совокупности: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анамнестических данных, клинических данных, результатов лабораторного исследования (биохимического и молекулярно-генетического анализа).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2.1 Жалобы и анамнез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При сборе анамнеза и жалоб рекомендовано обратить внимание на следующие жалобы и анамнестические события: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любом возрасте</w:t>
      </w:r>
    </w:p>
    <w:p w:rsidR="00D46410" w:rsidRPr="00D46410" w:rsidRDefault="00D46410" w:rsidP="00D46410">
      <w:pPr>
        <w:numPr>
          <w:ilvl w:val="0"/>
          <w:numId w:val="3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отягощенный семейный анамнез (сходные случаи заболевания у родных братьев и сестер);</w:t>
      </w:r>
    </w:p>
    <w:p w:rsidR="00D46410" w:rsidRPr="00D46410" w:rsidRDefault="00D46410" w:rsidP="00D46410">
      <w:pPr>
        <w:numPr>
          <w:ilvl w:val="0"/>
          <w:numId w:val="3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близкородственный брак.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Младенцы первых месяцев жизни</w:t>
      </w:r>
    </w:p>
    <w:p w:rsidR="00D46410" w:rsidRPr="00D46410" w:rsidRDefault="00D46410" w:rsidP="00D46410">
      <w:pPr>
        <w:numPr>
          <w:ilvl w:val="0"/>
          <w:numId w:val="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задержка психомоторного развития;</w:t>
      </w:r>
    </w:p>
    <w:p w:rsidR="00D46410" w:rsidRPr="00D46410" w:rsidRDefault="00D46410" w:rsidP="00D46410">
      <w:pPr>
        <w:numPr>
          <w:ilvl w:val="0"/>
          <w:numId w:val="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вялое сосание, плохая прибавка в весе;</w:t>
      </w:r>
    </w:p>
    <w:p w:rsidR="00D46410" w:rsidRPr="00D46410" w:rsidRDefault="00D46410" w:rsidP="00D46410">
      <w:pPr>
        <w:numPr>
          <w:ilvl w:val="0"/>
          <w:numId w:val="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брюшной тип дыхания;</w:t>
      </w:r>
    </w:p>
    <w:p w:rsidR="00D46410" w:rsidRPr="00D46410" w:rsidRDefault="00D46410" w:rsidP="00D46410">
      <w:pPr>
        <w:numPr>
          <w:ilvl w:val="0"/>
          <w:numId w:val="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одышка;</w:t>
      </w:r>
    </w:p>
    <w:p w:rsidR="00D46410" w:rsidRPr="00D46410" w:rsidRDefault="00D46410" w:rsidP="00D46410">
      <w:pPr>
        <w:numPr>
          <w:ilvl w:val="0"/>
          <w:numId w:val="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увеличение размеров языка (макроглоссия);</w:t>
      </w:r>
    </w:p>
    <w:p w:rsidR="00D46410" w:rsidRPr="00D46410" w:rsidRDefault="00D46410" w:rsidP="00D46410">
      <w:pPr>
        <w:numPr>
          <w:ilvl w:val="0"/>
          <w:numId w:val="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прогрессирующий характер течения.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Для детей старшего возраста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тахикардия;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дневная сонливость;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утомляемость; 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частые простудные заболевания;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мышечная слабость;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трудности при подъеме по лестнице;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непереносимость физических нагрузок;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изменение походки;</w:t>
      </w:r>
    </w:p>
    <w:p w:rsidR="00D46410" w:rsidRPr="00D46410" w:rsidRDefault="00D46410" w:rsidP="00D46410">
      <w:pPr>
        <w:numPr>
          <w:ilvl w:val="0"/>
          <w:numId w:val="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атрофия мышц конечностей.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Для подростков и взрослых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утренняя головная боль;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тахикардия;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утомляемость;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мышечная слабость;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прогрессирующий характер течения;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атрофия мышц;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трудности при подъеме по лестнице;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непереносимость физических нагрузок;</w:t>
      </w:r>
    </w:p>
    <w:p w:rsidR="00D46410" w:rsidRPr="00D46410" w:rsidRDefault="00D46410" w:rsidP="00D46410">
      <w:pPr>
        <w:numPr>
          <w:ilvl w:val="0"/>
          <w:numId w:val="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изменение походки.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Жалобы и анамнез также описаны в разделе «клиническая картина».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2.2 Физикальное обследование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При осмотре необходимо обратить внимание на основные физикальные проявления БП: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Младенцы первых месяцев жизни</w:t>
      </w:r>
    </w:p>
    <w:p w:rsidR="00D46410" w:rsidRPr="00D46410" w:rsidRDefault="00D46410" w:rsidP="00D46410">
      <w:pPr>
        <w:numPr>
          <w:ilvl w:val="0"/>
          <w:numId w:val="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симптомокомплекс «вялого ребенка»;</w:t>
      </w:r>
    </w:p>
    <w:p w:rsidR="00D46410" w:rsidRPr="00D46410" w:rsidRDefault="00D46410" w:rsidP="00D46410">
      <w:pPr>
        <w:numPr>
          <w:ilvl w:val="0"/>
          <w:numId w:val="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задержка психомоторного развития;</w:t>
      </w:r>
    </w:p>
    <w:p w:rsidR="00D46410" w:rsidRPr="00D46410" w:rsidRDefault="00D46410" w:rsidP="00D46410">
      <w:pPr>
        <w:numPr>
          <w:ilvl w:val="0"/>
          <w:numId w:val="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гипомимия;</w:t>
      </w:r>
    </w:p>
    <w:p w:rsidR="00D46410" w:rsidRPr="00D46410" w:rsidRDefault="00D46410" w:rsidP="00D46410">
      <w:pPr>
        <w:numPr>
          <w:ilvl w:val="0"/>
          <w:numId w:val="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макроглоссия;</w:t>
      </w:r>
    </w:p>
    <w:p w:rsidR="00D46410" w:rsidRPr="00D46410" w:rsidRDefault="00D46410" w:rsidP="00D46410">
      <w:pPr>
        <w:numPr>
          <w:ilvl w:val="0"/>
          <w:numId w:val="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нарушение ритма дыхания.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Дети, подростки, взрослые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прогрессирующая мышечная слабость с преимущественным поражением проксимальных отделов;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снижение моторной активности;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снижение сухожильных рефлексов;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положительные приемы Говерса;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миопатическая походка;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мышц передней стенки живота;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параспинальных мышц (лордоз, кифоз, сколиоз);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ягодичных мышц и трудность удержания равновесия при вставании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сохранность силы четырехглавых мышц при слабости мышц других отделов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сгибателей шеи;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диафрагмы, одышка;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мышц языка;</w:t>
      </w:r>
    </w:p>
    <w:p w:rsidR="00D46410" w:rsidRPr="00D46410" w:rsidRDefault="00D46410" w:rsidP="00D46410">
      <w:pPr>
        <w:numPr>
          <w:ilvl w:val="0"/>
          <w:numId w:val="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слабость мимических мышц, особенно асимметричная;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Подробно данные физикального обследования описаны в разделе «клиническая картина».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2.3 Лабораторные диагностические исследования</w:t>
      </w:r>
    </w:p>
    <w:p w:rsidR="00D46410" w:rsidRPr="00D46410" w:rsidRDefault="00D46410" w:rsidP="00D46410">
      <w:pPr>
        <w:numPr>
          <w:ilvl w:val="0"/>
          <w:numId w:val="9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с целью подтверждения диагноза всем пациентам с клиническими симптомам характерными для БП определение активности КАГ [15,24].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Комментарий: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Активность КАГ можно определять в различных биоматериалах (культивируемых фибробластах, мышечном биоптате, периферических лимфоцитах и др.), но в настоящее время оптимальным является определение активности КАГ в пятнах высушенной крови с помощью тандемной масс-спектрометрии. Этот тест сочетает в себе высокую чувствительность с простотой выполнения и возможностью применять для скрининга большого числа пациентов. Определение активности КАГ в СПК является оптимальным скрининговым тестом, «золотым стандартом», позволяющим малоинвазивно, быстро и точно определить дефицит активности фермента.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У пациентов с БП выявляют значительное снижение активности фермента (менее 10% от нормы). Однако, необходимо с осторожностью относится к интерпретации результатов биохимического тестирования, поскольку описаны аллели псевдонедостаточности, которые могут влиять на активность фермента in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vitro. По рекомендациям международной группы экспертов, для подтверждения диагноза БП после выявления снижения активности фермента в образце крови, необходимо провести повторное определение активности фермента в другом образце биоматериала (предпочтительно мышечная ткань, культура кожных фибробластов) или подтвердить биохимический диагноз методами ДНК-диагностики.</w:t>
      </w:r>
    </w:p>
    <w:p w:rsidR="00D46410" w:rsidRPr="00D46410" w:rsidRDefault="00D46410" w:rsidP="00D46410">
      <w:pPr>
        <w:numPr>
          <w:ilvl w:val="0"/>
          <w:numId w:val="10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со сниженной активностью КАГ проведение молекулярно-генетического анализа гена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GAA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, с целью подтверждения диагноза БП на молекулярно-генетическом уровне, возможности проведении пренатальной и преимплантационной диагностики в семье [15,24].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Комментарий: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Большинство пациентов являются компаунд-гетерозиготами (т.е. несут две разные патогенные мутации гена GAA). Поскольку в гене GAA описано большое число уникальных мутаций, полиморфизмов и замен неясной значимости, могут возникнуть трудности 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при выявлении ранее не описанных изменений нуклеотидной последовательности [2].    Мутации гена GAA, приводящие к развитию БП, могут быть выявлены при исследованиях методами секвенирования нового поколения (анализ экзома, генома, таргетного секвенирования).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Методы молекулярно-генетического анализа могут быть полезны в качестве дополнительного теста при подтверждающей диагностике БП, если недоступен биологический материал пробанда, а также для пренатальной и преимплантационной диагностики. </w:t>
      </w:r>
    </w:p>
    <w:p w:rsidR="00D46410" w:rsidRPr="00D46410" w:rsidRDefault="00D46410" w:rsidP="00D46410">
      <w:pPr>
        <w:numPr>
          <w:ilvl w:val="0"/>
          <w:numId w:val="11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 БП проведение биохимического общетерапевтического анализа крови с определением уровня сывороточной креатинфосфокиназы (КФК), лактатдегидрогеназы (ЛДГ), аланинаминотрансферазы (АЛТ), аспартатаминотрансферазы (АСТ), с целью выявления поражения мышечной ткани (на момент постановки диагноза и если не проводилось в предшествующие 6 месяцев) [15].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Комментарий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: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При БП с дебютом в детском возрасте в 95% случаев отмечается умеренное повышение уровня сывороточной КФК (в 2-10 раз), а значительное повышение (2000 Ед/Л и выше) характерно для МБП. По данным литературы активность сывороточной КФК обратно пропорциональна возрасту (ρ = -0,71, р &lt;0,001), длительности болезни (ρ = -0,45, р &lt;0,001) и наличию атрофии мышц ( ρ = -0,53, р &lt;0,001). АЛТ и АСТ – ферменты, которые активны во всех клетках организма, но больше всего их в сердце, печени, почках и мышцах. Характерное для БП нарушение работы печеночной и мышечной ткани приводит к повышению активности «печеночных ферментов» в сыворотке крови. АСТ – более информативный маркер, нежели АЛТ. У пациентов с инфантильной формой болезни активность АСТ в 3-10 раз превышает норму, АЛТ варьирует от нормы до превышения в 2-7 раз. При БППД активность АЛТ повышена в 94% и АСТ - в 95% случаев</w:t>
      </w:r>
    </w:p>
    <w:p w:rsidR="00D46410" w:rsidRPr="00D46410" w:rsidRDefault="00D46410" w:rsidP="00D46410">
      <w:pPr>
        <w:numPr>
          <w:ilvl w:val="0"/>
          <w:numId w:val="12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 БП проведение общего (клинического) анализа крови для оценки основных параметров кроветворения и выявления возможных инфекционных процессов (если не проводилось в предшествующие 2 месяца) [6,15].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связи с высоким риском развития интеркурентных инфекций, аспирационной пневмонии у пациентов с БП рекомендуется проведение данного исследования не реже 6 раз в год.</w:t>
      </w:r>
    </w:p>
    <w:p w:rsidR="00D46410" w:rsidRPr="00D46410" w:rsidRDefault="00D46410" w:rsidP="00D46410">
      <w:pPr>
        <w:numPr>
          <w:ilvl w:val="0"/>
          <w:numId w:val="13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 БП исследование уровня N-терминального фрагмента натрийуретического пропептида мозгового (NT-proBNP) в крови с целью выявления дисфункции миокарда, сердечной недостаточности (не позднее 3 месяцев от момента постановки диагноза (пациентам до 1 года) или не позднее 6 месяцев после первого года жизни) [25, 26].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4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уровень натрийуретического пептида обычно значительно повышен у пациентов с МБП, поскольку это важнейший биомаркер поражения сердца, в частности значительно повышающийся при развившейся сердечной недостаточности и дисфункции правого желудочка.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2.4 Инструментальные диагностические исследования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Перечисленные клинико-инструментальные методы исследования необходимы для диагностики и дифференциальной диагностики миопатических синдромов, включая детей в возрасте до 1 года.</w:t>
      </w:r>
    </w:p>
    <w:p w:rsidR="00D46410" w:rsidRPr="00D46410" w:rsidRDefault="00D46410" w:rsidP="00D46410">
      <w:pPr>
        <w:numPr>
          <w:ilvl w:val="0"/>
          <w:numId w:val="1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проведение стимуляционной и игольчатой ЭНМГ всем пациентам с подозрением на БП с целью дифференциальной диагностики с другими заболеваниями и выявления степени первично-мышечного поражения при БП [15,27].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данные методы позволяют дифференцировать БП от заболеваний, связанных нарушением функции двигательных волокон периферических и нервно-мышечной передачи.</w:t>
      </w:r>
    </w:p>
    <w:p w:rsidR="00D46410" w:rsidRPr="00D46410" w:rsidRDefault="00D46410" w:rsidP="00D46410">
      <w:pPr>
        <w:numPr>
          <w:ilvl w:val="0"/>
          <w:numId w:val="1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Рекомендовано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проведение электрокардиографии (ЭКГ) и эхокардиографии (Эхо-КГ) сердца всем пациентам с БП с целью выявления поражения сердца (если не проводилось предшествующие 6 месяцев) и каждые 7-14 дней в первые 12-24 недели при назначении ФЗТ [6,15,27].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Данные методы исследования позволяют выявить кардиомегалию, гипертрофию миокарда и нарушения ритма сердца.</w:t>
      </w:r>
    </w:p>
    <w:p w:rsidR="00D46410" w:rsidRPr="00D46410" w:rsidRDefault="00D46410" w:rsidP="00D46410">
      <w:pPr>
        <w:numPr>
          <w:ilvl w:val="0"/>
          <w:numId w:val="1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Рекомендовано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 БП проведение рентгенографии органов грудной клетки, кардиореспираторного мониторинга, оценки функции внешнего дыхания для выявления степени поражения бронхо-легочной системы  (если не проводилась последние 12 месяцев) и  пульс-оксиметрии, капнографии (если не проводилась последние 6 месяцев) [6,15,27].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оценка функции внешнего дыхания обязательна в положении стоя и лежа – с определением разницы в показателях.</w:t>
      </w:r>
    </w:p>
    <w:p w:rsidR="00D46410" w:rsidRPr="00D46410" w:rsidRDefault="00D46410" w:rsidP="00D46410">
      <w:pPr>
        <w:numPr>
          <w:ilvl w:val="0"/>
          <w:numId w:val="1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УЗИ органов брюшной полости всем пациентам с БП с целью выявления изменений размеров и структуры печени если не проводилось последние 6 месяцев) [6,15,27].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рекомендации – 5 (уровень убедительности доказательств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отличии от других гликогенозов при БП наблюдается умеренное увеличение размеров печени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.</w:t>
      </w:r>
    </w:p>
    <w:p w:rsidR="00D46410" w:rsidRPr="00D46410" w:rsidRDefault="00D46410" w:rsidP="00D46410">
      <w:pPr>
        <w:numPr>
          <w:ilvl w:val="0"/>
          <w:numId w:val="1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Рекомендуются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обязательные ежегодные обследования минеральной плотности костей у пациентов с БП для своевременной коррекции получаемого лечения по поводу остеопении и остеопороза. [6,15,27].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Пациенты и члены семьи должны быть информированы о всех последствиях неадекватного отношения к проблеме остеопороза.</w:t>
      </w:r>
    </w:p>
    <w:p w:rsidR="00D46410" w:rsidRPr="00D46410" w:rsidRDefault="00D46410" w:rsidP="00D46410">
      <w:pPr>
        <w:numPr>
          <w:ilvl w:val="0"/>
          <w:numId w:val="19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пациентам с БП аудиологическое обследование (тональная аудиометрия) при первичном осмотре и далее не реже 1 раза в 3 года с целью раннего выявления нарушений слуха [6,15,27].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numPr>
          <w:ilvl w:val="0"/>
          <w:numId w:val="20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 поздней БППН проведение 6-ти минутного теста с ходьбой для оценки выносливости (контроль эффективности ФЗТ) (если не проводился последние 6 мес.) (Приложение Г8) [17].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Уровень убедительности доказательств А (уровень достоверности рекомендации – 1)</w:t>
      </w:r>
    </w:p>
    <w:p w:rsidR="00D46410" w:rsidRPr="00D46410" w:rsidRDefault="00D46410" w:rsidP="00D46410">
      <w:pPr>
        <w:numPr>
          <w:ilvl w:val="0"/>
          <w:numId w:val="21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всем пациентам с БП проведение анализ качества жизни пациентов согласно оценке Опросник SF-36 (если не проводился последние 6 мес.) (Приложение Г9) [27,35].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Уровень убедительности доказательств А (уровень достоверности рекомендации – 1)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2.5 Иные диагностические исследования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Сложность диагностики БППН определяется отсутствием специфических клинических симптомов, характерных для большинства нервно-мышечных болезней, а также разнообразием их сочетания, временем появления и тяжести в процессе развития болезни.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Дифференциальная диагностика МБП проводится со всеми заболеваниями, основным клиническим проявлением которых является синдром вялого ребенка. Перечень основных заболеваний входящий в дифференциальный диагноз при БПНП представлен в Приложение Г 4.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3. Лечение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Лечение БП включает как патогенетическое лечение назначение ФЗТ, так и проведение симптоматической терапии. Ведение пациентов с БП  предполагает мультидисциплинарный подход с обязательным участием неврологов (особенно, нервно-мышечных специалистов), генетиков, кардиологов, пульмонологов, гастроэнтерологов, физиотерапевтов и врачей других специальностей, имеющих опыт в лечении этого редкого заболевания – при наличии симптомов поражения органов-мишеней как минимум необходима консультация профильного врача-специалиста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lastRenderedPageBreak/>
        <w:t>3.1 Патогенетическое лечение</w:t>
      </w:r>
    </w:p>
    <w:p w:rsidR="00D46410" w:rsidRPr="00D46410" w:rsidRDefault="00D46410" w:rsidP="00D46410">
      <w:pPr>
        <w:numPr>
          <w:ilvl w:val="0"/>
          <w:numId w:val="22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Рекомендовано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проведение ферментной заместительной терапии (ФЗТ) пациентам с установленным диагнозом БППН с целью замедления прогрессирования болезни, улучшения состояние костно-мышечной системы и стабилизации состояния дыхательной системы, повышения выживаемости и удлинения периода их жизни до наступления необходимости в вентиляции легких и кресле-коляске [15,17,28,29].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2 (уровень убедительности рекомендаций B).</w:t>
      </w:r>
    </w:p>
    <w:p w:rsidR="00D46410" w:rsidRPr="00D46410" w:rsidRDefault="00D46410" w:rsidP="00D46410">
      <w:pPr>
        <w:numPr>
          <w:ilvl w:val="0"/>
          <w:numId w:val="23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Рекомендовано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проведение ферментной заместительной терапии (ФЗТ) пациентам с установленным диагнозом МБП с целью замедления прогрессирования болезни, улучшения состояние костно-мышечной системы и стабилизации состояния дыхательной системы, повышения выживаемости и удлинения периода их жизни   [15,17, 29, 30].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3 (уровень убедительности рекомендаций B).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Единственным препаратом для патогенетической ФЗТ болезни Помпе является алглюкозидаза альфа, препарат зарегистрирован в Российской Федерации. Препарат алглюкозидаза альфа (Код АТХ:A16AB07), рекомбинантный фермент, синтезируемый клеточной линией, полученной из яичников китайских хомячков. Алглюкозидаза альфа восполняет активность лизосомальной КАГ, что приводит к стабилизации или восстановлению функции сердечной и скелетных мышц (включая дыхательные мышцы). Препарат хорошо переносится, не имеет выраженных побочных эффектов. Показан для долговременной ФЗТ у пациентов с подтвержденным диагнозом болезни Помпе всех возрастов.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На данный момент эффективность и безопасность алглюкозидазы альфа оценена в клинических исследованиях как у детей, так и у взрослых пациентов. Законченные и опубликованные исследования по лечению БП были проведены с участием более 500 пациентов. Безопасность и хорошая переносимость терапии алглюкозидазой альфа подтверждена более чем 10 годами клинического опыта у более чем 1 800 пациентов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Препарат выпускается во флаконах, количество лиофилизата в которых эквивалентно 50 мг активного вещества. Вводится в/в капельно в дозировке 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20 мг/кг веса пациента. Раннее начало терапии очень важно, так как позволяет добиться наиболее лучших клинических исходов. Доказано, что применение ФЗТ при младенческой форме болезни уменьшает риск смерти на 99%, а риск смерти или необходимости в инвазивной вентиляции легких – на 92% [30].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Своевременное назначение терапии алглюкозидазой альфа вызывает обратное развитие кардиомиопатии у пациентов с младенческой формой БП, улучшает показатели мышечной силы, двигательной активности и стабилизирует состояние дыхательной системы у детей и взрослых пациентов. Терапия алглюкозидазой альфа пациентов с поздней формой болезни замедляет прогрессирование болезни, улучшая состояние костно-мышечной системы и стабилизируя состояние дыхательной системы, повышает выживаемость пациентов и удлиняет период их жизни до наступления необходимости в вентиляции легких и кресле-коляске . Препарат вводится в/в капельно в дозировке 20 мг/кг веса. раз в две недели. В литературе имеются единичные описания другого режима дозирования (введения более высокой дозы фермента и более часто для пациентов с ранними формами заболевания). Однако, поскольку   исследования не проводились уровень доказательности введения высокой дозы может быть расценен как экспертное мнение.</w:t>
      </w:r>
    </w:p>
    <w:p w:rsidR="00D46410" w:rsidRPr="00D46410" w:rsidRDefault="00D46410" w:rsidP="00D46410">
      <w:pPr>
        <w:numPr>
          <w:ilvl w:val="0"/>
          <w:numId w:val="2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Рекомендовано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при начале ФЗТ у пациентов с БП проведение первых 3х инфузий в стационаре, поскольку возможно возникновение реакций на введение препарата.  Необходимо проведение мониторинга витальных функций (ЧСС, АД, сатурация) во время проведения инфузии [15,29,30].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Введение ФЗТ проводится регулярно при наличии показаний в случае осложненного течения болезни - в условиях круглосуточного стационара, в стабильном состоянии – в стационаре дневного пребывания или амбулаторно 1 раз в 2 недели.   Необходимо учитывать следующие особенности проведения ФЗТ при МБП: Не кормить ребенка за 3-4 часа до проведения инфузии (предупреждение аспирации, возможное проведение реанимационных мероприятий);Разведение препарата в минимальном объеме; Введение препарата при первых инфузиях должно проводится в центральный венозный катетер или - при введении в периферический венозный катетер необходимо иметь два доступа, в дальнейшем 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рекомендуется установка инфузионной порт-системы; Инфузии с ограниченной скоростью (повышение на 0,5-1мл/ч каждые 30-60 мин), учитывая высокий риск декомпенсации сердечной недостаточности на фоне гиперволемии;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3.2 Симптоматическое лечение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По симптоматической терапии БП нет рандомизированных контролируемых исследований. Все приведенные ниже рекомендации отражают экспертное мнение специалистов из разных стран.  Препараты, улучшающие метаболизм миокарда, препараты для лечения сердечной недостаточности, антиаритмические препараты назначают в соответствии с клиническими рекомендациями, разработанными для соотвествующей патологии.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[3,15,29,30].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   </w:t>
      </w:r>
    </w:p>
    <w:p w:rsidR="00D46410" w:rsidRPr="00D46410" w:rsidRDefault="00D46410" w:rsidP="00D46410">
      <w:pPr>
        <w:numPr>
          <w:ilvl w:val="0"/>
          <w:numId w:val="2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для всех пациентов с БП вакцинация по индивидуальному графику, которая включает в себя помимо вакцин, включенных в национальный календарь прививок, сезонную вакцину от гриппа, пневмококковую вакцину [15].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Диагноз БП не является противопоказанием для проведения прививок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.</w:t>
      </w:r>
    </w:p>
    <w:p w:rsidR="00D46410" w:rsidRPr="00D46410" w:rsidRDefault="00D46410" w:rsidP="00D46410">
      <w:pPr>
        <w:numPr>
          <w:ilvl w:val="0"/>
          <w:numId w:val="2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для всех пациентов с БП с целью минимизации риска респираторных осложнений и дыхательной недостаточности лечение любых инфекций дыхательных путей надо начинать в максимально ранние сроки и максимально агрессивно  [15,31].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numPr>
          <w:ilvl w:val="0"/>
          <w:numId w:val="2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назначение пациентам с БП препаратов витамина D, кальция, бифосфонатов по тем схемам, рекомендованным для общей популяции для предотвращения развития остеопороза [15,17,27,31].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Снижение минеральной плотности костей является частой находкой у пациентов с БП и по данным последних исследований достигает уровня 67% случаев [32]. Остеопения и остеопороз обнаруживаются как при МБП, так и у детей и взрослых с БППН. Неустойчивость при ходьбе, сложность поддержания равновесия в результате мышечной слабости, в сочетании с остеопорозом угрожает развитием переломов костей и позвоночника. Все пациенты с БППН, независимо от степени обездвиженности (например, нуждающиеся в кресле-каталке) должны быть обучены всем мерам предосторожности для профилактики падения и переломов в быту.</w:t>
      </w:r>
    </w:p>
    <w:p w:rsidR="00D46410" w:rsidRPr="00D46410" w:rsidRDefault="00D46410" w:rsidP="00D46410">
      <w:pPr>
        <w:numPr>
          <w:ilvl w:val="0"/>
          <w:numId w:val="2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пациентам с БП консультации следующих специалистов: врачом-неврологом (если не проводилось последние 3 месяца для детей до 1 года и не реже 1 раза в год для пациентов старше 1 года) или чаще при наличии показаний [15,17,27].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Уровень убедительности доказательств C (уровень достоверности рекомендации – 5)</w:t>
      </w:r>
    </w:p>
    <w:p w:rsidR="00D46410" w:rsidRPr="00D46410" w:rsidRDefault="00D46410" w:rsidP="00D46410">
      <w:pPr>
        <w:numPr>
          <w:ilvl w:val="0"/>
          <w:numId w:val="29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пациентам с БП консультации следующих специалистов не реже 1 раза в 3 месяца или чаще при наличии показаний: врачом-педиатром/терапевтом (если не проводилась последние 3 месяца) [15,17,27].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Уровень убедительности доказательств C (уровень достоверности рекомендации – 5)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3.3 Иное лечение</w:t>
      </w:r>
    </w:p>
    <w:p w:rsidR="00D46410" w:rsidRPr="00D46410" w:rsidRDefault="00D46410" w:rsidP="00D46410">
      <w:pPr>
        <w:numPr>
          <w:ilvl w:val="0"/>
          <w:numId w:val="30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пациентам с БП включение в рацион специализированных высококалорийных и высокобелковых смесей для поддержания мышечной массы, антирефлюксных смесей в целях профилактики аспирации [15].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numPr>
          <w:ilvl w:val="0"/>
          <w:numId w:val="31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пациентам с БП при появлении сложностей с глотанием зондовое кормление, или совмещение перорального и зондового питания при сохранении адекватного глотания и отсутствии поперхивания [15].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numPr>
          <w:ilvl w:val="0"/>
          <w:numId w:val="32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пациентам с БП назодуоденальное зондовое кормление при сохранении рефлюкса и высоком риске аспирации [15].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4. Реабилитация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зависимости от ведущих клинических симптомов пациентам с БП может быть назначены различные реабилитационные программы.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- Оральная стимуляция, сосание соски, гимнастика должны проводиться всем пациентам для поддержания нормального развития навыков глотания и устной речи.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- При проведении реабилитационных мероприятий избегать чрезмерных (максимальных) нагрузок. Регулярно: физиотерапевтические процедуры, массаж, ЛФК, логопедия, респираторная терапия (дыхательная гимнастика), обучение самообслуживанию и использованию вспомогательных приспособлений (зависит от возраста ребенка). По показаниям - занятия с логопедом, сурдолгом.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- Неинвазивная кислородная поддержка (создание положительного давления) -  при развитии гипоксемии, обструктивном синдроме.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- Обучение родителей использованию небулайзера, отсоса.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Большое значение имеет правильный образ жизни с адекватным распределением нагрузок, занятий лечебной физкультурой под контролем информированного инструктора.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. Следует настойчиво рекомендовать пациенту с нарушением походки и равновесия пользоваться вспомогательными предметами - тростью, ходунками, а при необходимости использовать механические средства передвижения (кресло-каталку и пр.).</w:t>
      </w:r>
    </w:p>
    <w:p w:rsidR="00D46410" w:rsidRPr="00D46410" w:rsidRDefault="00D46410" w:rsidP="00D46410">
      <w:pPr>
        <w:numPr>
          <w:ilvl w:val="0"/>
          <w:numId w:val="33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Рекомендовано 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проведение следующих реабилитационных мероприятий пациентам с БП: физиотерапевтические процедуры, массаж, ЛФК, логопедия, респираторная терапия (дыхательная гимнастика), обучение самообслуживанию и использованию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вспомогательных приспособлений (зависит от возраста ребенка). [15,17,27,31].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Комментарии: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Пациентам с БП необходима поддержка максимального уровня функций скелетно-мышечного аппарата для предотвращения и минимизации вторичных осложнений (развитие контрактур, мышечных атрофий, компенсаторной деформации скелета, остеопении, остеопороза). При проведении реабилитационных мероприятий избегать чрезмерных (максимальных) нагрузок. По показаниям целесообразны занятия с логопедом, врачом-оториноларинголом (сурдологом).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5. Профилактика</w:t>
      </w:r>
    </w:p>
    <w:p w:rsidR="00D46410" w:rsidRPr="00D46410" w:rsidRDefault="00D46410" w:rsidP="00D46410">
      <w:pPr>
        <w:numPr>
          <w:ilvl w:val="0"/>
          <w:numId w:val="34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Рекомендуется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консультация врача-генетика после установления диагноза БП пациенту или его официальным представителям, с целью разъяснений генетического риска, обсуждения возможностей пренатальной и преимплантационной диагностики. [15,33,34].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Уровень достоверности доказательств – 5 (уровень убедительности рекомендаций С).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Комментарий: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Семьям с больными БП детьми рекомендуется медико-генетическое консультирование с целью определения генетического риска. Как и при других аутосомно-рецессивных заболеваниях, при БП для каждой беременности риск рождения ребенка составляет 25%. В семьях, где есть больной БП ребенок, возможно проведение пренатальной и преимплантационной диагностики. Для этого родителям необходимо обратиться в специализированные диагностические лаборатории и медицинские центры.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Пренатальная диагностика проводится молекулярно-генетическими или биохимическими методами, путем исследования ДНК, выделенной из биоптата ворсин хориона на 9-11 неделе беременности и/или клеток амниотической жидкости, плодной крови на 20-22 неделе беременности. 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Организация оказания медицинской помощи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Показания для плановой госпитализации:</w:t>
      </w:r>
    </w:p>
    <w:p w:rsidR="00D46410" w:rsidRPr="00D46410" w:rsidRDefault="00D46410" w:rsidP="00D46410">
      <w:pPr>
        <w:numPr>
          <w:ilvl w:val="0"/>
          <w:numId w:val="3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Проведение диагностики и лечения, требующие круглосуточного медицинского наблюдения.</w:t>
      </w:r>
    </w:p>
    <w:p w:rsidR="00D46410" w:rsidRPr="00D46410" w:rsidRDefault="00D46410" w:rsidP="00D46410">
      <w:pPr>
        <w:numPr>
          <w:ilvl w:val="0"/>
          <w:numId w:val="3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состояние, требующее активного лечения и круглосуточного медицинского наблюдения (нарастающая дыхательная недостаточность, нарушения ритма сердца);</w:t>
      </w:r>
    </w:p>
    <w:p w:rsidR="00D46410" w:rsidRPr="00D46410" w:rsidRDefault="00D46410" w:rsidP="00D46410">
      <w:pPr>
        <w:numPr>
          <w:ilvl w:val="0"/>
          <w:numId w:val="3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состояние, требующее проведения высокотехнологичных методов лечения </w:t>
      </w:r>
    </w:p>
    <w:p w:rsidR="00D46410" w:rsidRPr="00D46410" w:rsidRDefault="00D46410" w:rsidP="00D46410">
      <w:pPr>
        <w:numPr>
          <w:ilvl w:val="0"/>
          <w:numId w:val="3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отсутствие возможности обеспечения ФЗТ в амбулаторных и стационарозамещающих условиях;</w:t>
      </w:r>
    </w:p>
    <w:p w:rsidR="00D46410" w:rsidRPr="00D46410" w:rsidRDefault="00D46410" w:rsidP="00D46410">
      <w:pPr>
        <w:numPr>
          <w:ilvl w:val="0"/>
          <w:numId w:val="35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необходимость проведения различных видов экспертиз или обследования в медицинской организации при невозможности проведения их в амбулаторных условиях, требующих динамического наблюдения (в том числе оформление заключения федерального консилиума).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Показания для экстренной госпитализации: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Острые заболевания, обострения хронических болезней, отравления и травмы, состояния, требующие интенсивной терапии и перевода в реанимационные отделения или отделения интенсивной терапии, а также круглосуточного медицинского наблюдении и проведения специальных видов обследования и лечения.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Показания к выписке пациента из стационара:</w:t>
      </w:r>
    </w:p>
    <w:p w:rsidR="00D46410" w:rsidRPr="00D46410" w:rsidRDefault="00D46410" w:rsidP="00D46410">
      <w:pPr>
        <w:numPr>
          <w:ilvl w:val="0"/>
          <w:numId w:val="3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отсутствие угрозы жизни пациента;</w:t>
      </w:r>
    </w:p>
    <w:p w:rsidR="00D46410" w:rsidRPr="00D46410" w:rsidRDefault="00D46410" w:rsidP="00D46410">
      <w:pPr>
        <w:numPr>
          <w:ilvl w:val="0"/>
          <w:numId w:val="3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отсутствие угрозы развития осложнений, требующих неотложного лечения;</w:t>
      </w:r>
    </w:p>
    <w:p w:rsidR="00D46410" w:rsidRPr="00D46410" w:rsidRDefault="00D46410" w:rsidP="00D46410">
      <w:pPr>
        <w:numPr>
          <w:ilvl w:val="0"/>
          <w:numId w:val="3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стабилизация состояния и основных клинико-лабораторных показателей патологического процесса по основному заболеванию;</w:t>
      </w:r>
    </w:p>
    <w:p w:rsidR="00D46410" w:rsidRPr="00D46410" w:rsidRDefault="00D46410" w:rsidP="00D46410">
      <w:pPr>
        <w:numPr>
          <w:ilvl w:val="0"/>
          <w:numId w:val="3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отсутствие необходимости в постоянном врачебном и круглосуточном медицинском наблюдении по основному заболеванию;</w:t>
      </w:r>
    </w:p>
    <w:p w:rsidR="00D46410" w:rsidRPr="00D46410" w:rsidRDefault="00D46410" w:rsidP="00D46410">
      <w:pPr>
        <w:numPr>
          <w:ilvl w:val="0"/>
          <w:numId w:val="36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необходимости перевода пациента в другую медицинскую организацию или учреждение социального обеспечения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6. Дополнительная информация, влияющая на течение и исход заболевания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Ранняя диагностика БП и назначение ФЗТ позволяет улучшить прогноз и замедлить прогрессирование забовлания. В некоторых странах рассматривается вопрос о включении БП в программы массового скрининга новорожденных [13,30].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Критерии оценки качества медицинской помощи</w:t>
      </w:r>
    </w:p>
    <w:tbl>
      <w:tblPr>
        <w:tblW w:w="49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6573"/>
        <w:gridCol w:w="1717"/>
      </w:tblGrid>
      <w:tr w:rsidR="00D46410" w:rsidRPr="00D46410" w:rsidTr="00D46410">
        <w:trPr>
          <w:tblHeader/>
        </w:trPr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Критерии качества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Оценка выполнения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Выполнено определение активности КАГ с целью подтверждения диагноза БП в лейкоцитах периферической крови или пятнах высушенной крови и/или молекулярно-генетическое исследование (выявление мутаций в гене 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GAA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) (при постановке диагноза)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 биохимический анализ крови с определением уровня сывороточной креатинфосфокиназы (КФК), лактатдегидрогеназы (ЛДГ), аланинаминотрансферазы (АЛТ), аспартатаминотрансферазы (АСТ) (на момент постановки диагноза и если не проводилось в предшествующие 6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 общий (клинический) анализ крови (если не проводилось в предшествующие 2 месяца)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4.      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проводился ли контроль натрийуретического пептида (NT-proBNP) не позднее 3 месяцев от момента постановки диагноза (пациентам до 1 года) или не позднее 6 месяцев после первого года жизни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электрокардиография и эхокардиография (если не проводилось предшествующие 6 месяцев) и каждые 7-14 дней в первые 12-24 недели при назначении ФЗТ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6.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Выполнено определение размеров и структуры печени по данным ультразвукового исследования брюшной полости (если не проводилось последние 6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7.      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Выполнено обследования минеральной плотности костей с применением денситометрии (если не проводилось в последние 12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8.      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Выполнено аудиологическое обследование (тональная аудиометрия)  (если не проводилось в последние 3 года)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9.      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Выполнена ренгтенография органов грудной клетки (если не проводилась последние 12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37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оценка функции внешнего дыхания  (если не проводилось в последние 12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38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кардиореспираторного мониторинга (если не проводилась последние 12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39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Выполнена пульс-оксиметрия, капнография, (если не проводилась последние 6 месяцев)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0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Выполнено определение стимуляционной и игольчатой ЭНМГ на момент постановки диагноза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1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lastRenderedPageBreak/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консультация врачом-генетиком при установлении диагноза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2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консультация врачом-кардиологом при наличии патологии сердечно-сосудистой системы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3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консультация врачом-отоларингологом (при наличии патологии со стороны ЛОР-органов и/или верхних дыхательных путей)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4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Выполнена консультация врачом-неврологом (если не проводилось последние 3 месяца для детей до 1 года и не реже 1 раза в год для пациентов старще 1 года)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5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консультация врачом-пульмонологом (при наличии патологии со стороны дыхательной системы)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6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Выполнена консультация врачом-педиатром/терапевтом (если не проводилась последние 3 месяца)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7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Назначена ферментная заместительная терапия (ФЗТ) пациентам с установленным диагнозом БППН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8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Назначена ферментная заместительная терапия (ФЗТ) пациентам с установленным диагнозом МБП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49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Назначены препараты   витамина D, кальция, бифосфонатов у пациентов со снижением плотности костной ткани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50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Выполнен 6-тиминутный тест с ходьбой (если не проводился последние 6 мес.)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  <w:tr w:rsidR="00D46410" w:rsidRPr="00D46410" w:rsidTr="00D46410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51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Проведен анализ качества жизни пациентов согласно оценке Опросник SF-36 (если не проводился последние 6 мес.)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Да/нет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br w:type="textWrapping" w:clear="all"/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 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Список литературы</w:t>
      </w:r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Hirschhorn R., Reuser A. Glycogen storage disease Type II: acid alpha-glucosidase (acid maltase) deficiency// In: Scriver C, Beaudet A, Sly W, Valle D (eds) The metabolic and molecular bases of inherited disease, 8th edn. McGraw-Hill, New York.2001. P.3389–3420.</w:t>
      </w:r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3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http://www.hgmd.cf.ac.uk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4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Hagemans M., Winkel, Hop W. et al. Disease severity in children and adults with Pompe disease related to age and disease duration// Neurology. 2005. V.64. P.2139-41.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5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Muller-Felber W., Horvath R., Gempel K. et al. Late onset Pompe disease: clinical and neurophysiological spectrum of 38 patients including long-term follow-up in 18 patients// Neuromuscul Disord. 2007. V.17. P.698-706.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6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Wokke J.H., Escolar D.M., Pestronk A. et al. Clinical features of late-onset Pompe disease: a prospective cohort study//Muscle Nerve. 2008.V.38. №4. P.1236–45.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7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Barba-Romero M.A., Barrot E., Bautista-Lorite J. et al. Сlinical guidelines for late-onset Pompe disease// Rev Neurol. 2012. V.54. №8. P.497-507.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8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Meikle P.J., Hopwood J.J., Clague A.E., Carey W.F. Prevalence of lysosomal storage disorders// JAMA. 1999. V.281. №3. P.249–54.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29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Ausems M.G., Verbiest J., Hermans M.P. et al. Frequency of glycogen storage disease type II in The Netherlands: implications for diagnosis and genetic counseling// Eur J Hum Genet. 1999. V.7. №6. P.713-6.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0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Mechtler T.P., </w:t>
        </w:r>
      </w:hyperlink>
      <w:hyperlink r:id="rId31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Stary S. et al. Neonatal screening for lysosomal storage disorders: feasibility and incidence from a nationwide study in Austria// </w:t>
        </w:r>
      </w:hyperlink>
      <w:hyperlink r:id="rId32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Lancet. 2012. V.379. №9813.P.335-41.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3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Chiang S.C., Hwu W.L., Lee N.C., Hsu L.W., Chien Y.H. Algorithm for Pompe disease newborn screening: results from the Taiwan screening program// Mol Genet Metab. 2012. V.106. P.281–6.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4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Zhao Y., Wang Z., Lu J. et al. Characteristics of Pompe disease in China: a report from the Pompe registry// Orphanet J Rare Dis. 2019.V. 14. №78. doi:10.1186/s13023-019-1054-60.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5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van den Hout H.M. P., Hop W. et al.   The Natural Course of Infantile Pompe’s Disease: 20 Original Cases Compared With 133 Cases// Literature Pediatrics. 2003. V.112 . №2. 332-40.  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6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Chien Y., Lee N., Thurberg B. et al. Pompe disease in infants: Improving the prognosis by newborn screening and early treatment// Pediatrics.  2009. V.124. P.e1116–e1125.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7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Котлукова Н.П., Михайлова С.В. и др. Младенческая форма болезни Помпе: клиника, диагностика и лечение// Нервно-мышечные болезни. 2012. №4. С. 66-74.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8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Kishnani P., Steiner R.D., Bali D. et al. Pompe disease diagnosis and management guideline// Genetics in Medicine. 2006. V. 8. № 5. P. 267 – 88.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39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Van Der Beek N.A., De Vries J.M., Hagemans M.L. et al. Clinical features and predictors for disease natural progression in adults with Pompe disease: a nationwide prospective observational study// Orphanet J Rare Dis. 2012.V. 7. P.88.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0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Cupler E.J., Berger K.I., Leshner R.T. et al. Consensus treatment recommendations for late onsent Pompe disease// Muscle Nerve. 2012. V.45. №3. P.319–33.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1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Клюшников С.А., Загоровская Т.Б. и др. Клинический случай болезни Помпе с поздним началом// Нервные болезни. 2015. №2. С. 38 – 43.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2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Курбатов С.А., Никитин С.С., Захарова Е.Ю. Болезнь Помпе с поздним началом c фенотипом поясно-конечностной миодистрофии// Нервно-мышечные болезни. 2015. №3 С. 65 – 68.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3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Никитин С.С., Ковальчук М.О. и др. Болезнь Помпе с поздним началом: первое клиническое описание в России// Нервно-мышечные болезни.  2014. №1. С. 62 – 8.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4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Никитин С.С. Бессимптомная гиперкреатинкиназемия в клинике нервно-мышечных болезней// Неврологический журнал. 2015. Т.20. №5.  С. 26 – 33.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5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Никитин С.С., Курбатов С.А., Бределев В.А., Ковальчук М.О. Настораживающие признаки и симптомы в ранней диагностике болезни Помпе с поздним началом: клиника превыше всего // Журнал неврологии и психиатрии им. С.С.Корсакова. 2015. №12. С.19 – 24.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6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Desnuelle C. Поздняя форма болезни Помпе: диагностические и терапевтические подходы// Нервно-мышечные болезни.2012. №3. С. 20-33.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7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Methods for a prompt and reliable laboratory diagnosis of Pompe disease: Report from an international consensus meeting Molecular Genetics and Metabolism 93 (2008) 275–281.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8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Panagopoulou V., Deftereos S., Kossyvakis C. NTproBNP: an important biomarker in cardiac diseases// Curr Top Med Chem. 2013. V.13. №2. P.82-94.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49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Ермоленко В. С., Сильнова И. В., Басаргина Е. Н. Динамика содержания в крови n-концевого фрагмента мозгового натрийуретического пептида (NT-proBNP) при гипертрофической кардиомиопатии у детей //Российский педиатрический журнал. 2016. Т. 19. №. 2.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0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Bembi B., Cerini E., Danesino C. et al. Management and treatment of glycogenosis type II// Neurology. 2008. V.71. P.12 – 36.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1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Schoser B., Stewart A., Kanters S. et al. Survival and long-term outcomes in late-onset Pompe disease following alglucosidase alfa treatment: a systematic review and meta-analysis// J Neurol .2017. V.264. P. 621-30.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2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Toscano A., Schoser B. Enzyme replacement therapy in late-onset Pompe disease: a systematic literature review// J Neurol. 2013. V. 260. №4. P.951–9.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3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Kishnani P., Corzo D., Leslie N. et al. Early treatment with alglucosidase alfa prolongs long term survival of infants with Pompe disease// Pediatr Res. 2009. V.66. №3. P. 329-35.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4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Llerena J.C., Horovitz D.M., Nagahashi Marie S.K. et al. The Brazilian Consensus on the Management of Pompe Disease// The Journal of pediatrics. V. 155. № 4.Suppl. 2. P.47 – 56.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5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Byrne B.J., Kishnani P.S., Case L.E. et al. Pompe disease: Design, methodology, and early findings from the Pompe Registry// Molecular Genetics and Metabolism. 2011. V.103. P. 1-11.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6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Taglia A., Picillo E., D"Ambrosio P., Cecio M.R., Viggiano E., Politano L. Genetic counseling in Pompe disease// Acta Myol. 2011. V.30. №3. P.179–81.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7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Skirton H., Cordier C., Ingvoldstad C., Taris N., Benjamin C. The role of the genetic counsellor: a systematic review of research evidence// Eur J Hum Genet. 2015. V.23. №4. P.452–8.  </w:t>
        </w:r>
      </w:hyperlink>
    </w:p>
    <w:p w:rsidR="00D46410" w:rsidRPr="00D46410" w:rsidRDefault="00D46410" w:rsidP="00D46410">
      <w:pPr>
        <w:numPr>
          <w:ilvl w:val="0"/>
          <w:numId w:val="5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hyperlink r:id="rId58" w:tooltip="Lancet (London, England)." w:history="1">
        <w:r w:rsidRPr="00D46410">
          <w:rPr>
            <w:rFonts w:ascii="inherit" w:eastAsia="Times New Roman" w:hAnsi="inherit" w:cs="Times New Roman"/>
            <w:color w:val="000000"/>
            <w:sz w:val="27"/>
            <w:szCs w:val="27"/>
            <w:u w:val="single"/>
            <w:bdr w:val="none" w:sz="0" w:space="0" w:color="auto" w:frame="1"/>
            <w:lang w:eastAsia="ru-RU"/>
          </w:rPr>
          <w:t>Güngör D, Kruijshaar ME, Plug I, et al. Quality of life and participation in daily life of adults with Pompe disease receiving enzyme replacement therapy: 10 years of international follow-up. J Inherit Metab Dis. 2016;39(2):253–260.  </w:t>
        </w:r>
      </w:hyperlink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А1. Состав рабочей группы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Куцев Сергей Иванович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 чл.-корр РАМН, д.м.н., директор ФГБНУ "Медико-генетический научный центр им. академика Н.П.Бочкова ", Президент Ассоциации медицинских генетиков (АМГ).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Никитин Сергей Сергеевич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 д.м.н., профессор, председатель «Общества специалистов по нервно-мышечным заболеваниям».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Намазова-Баранова Лейла Сеймуровна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академик РАН, профессор, д.м.н., Председатель Исполкома Союза педиатров России.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Баранов Александр Александрович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академик РАН, профессор, д.м.н., Почетный Председатель Исполкома Союза педиатров России. Награды: Орден Трудового Красного Знамени, Орден Почета, Орден «За заслуги перед Отечеством» IV степени, Орден «За заслуги перед Отечеством» III степени.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Вашакмадзе Нато Джумберовна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д.м.н.,   кафедра факультетской педиатрии ПФ ФГБОУ ВО РНИМУ имени Н.И. Пирогова, Институт педиатрии и охраны здоровья детей ЦКБ РАН, член Союза педиатров России.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Артемьева Светлана Брониславовна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-д.м.н., заведующая психоневрологическим отделением №2 Научно-исследовательского клинического института педиатрии имени академика Ю.Е. Вельтищева ГБОУ ВПО РНИМУ им. Н.И. Пирогова Минздрава России.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Архипова Елена Николаевна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 к.м.н., ФНКЦ детской гематологии, онкологии и иммунологии им. Дмитрия Рогачева.</w:t>
      </w:r>
    </w:p>
    <w:p w:rsidR="00D46410" w:rsidRPr="00D46410" w:rsidRDefault="00D46410" w:rsidP="00D46410">
      <w:pPr>
        <w:numPr>
          <w:ilvl w:val="0"/>
          <w:numId w:val="5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Басаргина Елена Николаевна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-д.м.н., заведующая отделением кардиологии, главный научный сотрудник ФГАУ "Научный центр здоровья детей" МЗ РФ, член Союза педиатров России.</w:t>
      </w:r>
    </w:p>
    <w:p w:rsidR="00D46410" w:rsidRPr="00D46410" w:rsidRDefault="00D46410" w:rsidP="00D46410">
      <w:pPr>
        <w:numPr>
          <w:ilvl w:val="0"/>
          <w:numId w:val="54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Захарова Екатерина Юрьевна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-д.м.н., заведующая лабораторией наследственных болезней обмена ФГБНУ "Медико-генетический научный центр им. академика Н.П.Бочкова", член Российского общества медицинских генетиков, член европейского общества по изучению наследственных болезней обмена веществ (SSIEM).</w:t>
      </w:r>
    </w:p>
    <w:p w:rsidR="00D46410" w:rsidRPr="00D46410" w:rsidRDefault="00D46410" w:rsidP="00D46410">
      <w:pPr>
        <w:numPr>
          <w:ilvl w:val="0"/>
          <w:numId w:val="54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Клюшников Сергей Анатольевич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д.м.н., в.н.с., врач-невролог 5 неврологического отделения ФГБНУ НЦН, член Российского обществ неврологов и медицинских генетиков, Movement Disorder Society, European Huntington"s Disease Network (Euro-HD Network). Ведущий специалист по болезни Гентингтона исследовательского центра REGISTRY Euro-HD Network (на базе НЦН). Председатель российской Ассоциации по борьбе с болезнью Гентингтона.</w:t>
      </w:r>
    </w:p>
    <w:p w:rsidR="00D46410" w:rsidRPr="00D46410" w:rsidRDefault="00D46410" w:rsidP="00D46410">
      <w:pPr>
        <w:numPr>
          <w:ilvl w:val="0"/>
          <w:numId w:val="54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Котлукова Наталья Павловна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-д.м.н., врач-консультант, детский кардиолог ГБУЗ «Детская городская клиническая больница им. З.А. Башляевой ДЗ г. Москвы», профессор кафедры госпитальной педиатрии № 1 педиатрического факультета ГБОУ ВПО РНИМУ им. Н.И. Пирогова.</w:t>
      </w:r>
    </w:p>
    <w:p w:rsidR="00D46410" w:rsidRPr="00D46410" w:rsidRDefault="00D46410" w:rsidP="00D46410">
      <w:pPr>
        <w:numPr>
          <w:ilvl w:val="0"/>
          <w:numId w:val="54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Ларионова Валентина Ильинична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д.м.н., ФГБНУ "Институт экспериментальной медицины", член Российского общества медицинских генетиков.</w:t>
      </w:r>
    </w:p>
    <w:p w:rsidR="00D46410" w:rsidRPr="00D46410" w:rsidRDefault="00D46410" w:rsidP="00D46410">
      <w:pPr>
        <w:numPr>
          <w:ilvl w:val="0"/>
          <w:numId w:val="54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Михайлова Светлана Витальевна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-д.м.н., заведующая отделением ФГБУ «Российская Детская Клиническая Больница» МЗ РФ.</w:t>
      </w:r>
    </w:p>
    <w:p w:rsidR="00D46410" w:rsidRPr="00D46410" w:rsidRDefault="00D46410" w:rsidP="00D46410">
      <w:pPr>
        <w:numPr>
          <w:ilvl w:val="0"/>
          <w:numId w:val="54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Семячкина Алла Николаевна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д.м.н., г.н.с. отделения клинической генетики ФГБУ «Московский НИИ педиатрии и детской хирургии Минздрава России», член Ассоциации медицинских генетиков (АМГ)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Авторы подтверждают отсутствие финансовой поддержки/конфликта интересов, который необходимо обнародовать.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А2. Методология разработки клинических рекомендаций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Настоящие рекомендации предназначены для применения медицинскими организациями и учреждениями федеральных, территориальных и муниципальных органов управления здравоохранением, систем обязательного и добровольного медицинского страхования, другими медицинскими организациями различных организационно-правовых форм деятельности, направленной на оказание медицинской помощи.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Настоящие рекомендации устанавливают виды, объем и индикаторы качества медицинской помощи пациентам при БП и были рассмотрены в рамках III Всероссийский научно-практический конгресса с международным участием «Орфанные болезни» (31.05.2018 - 02.06.2018) и на XXI Конгрессе педиатров России с международным участием «Актуальные проблемы педиатрии» 15-17 февраля 2019 г.  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Клинические рекомендации созданы на основании систематического обзора литературы 1992-2019 гг. Medline (Pubmed version), Embase (Dialog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version) и Cochrane Library databases, с использованием созданных протоколов (Bembi B., Cerini E., Danesino C. et al. Management and treatment of glycogenosis type II. Neurology 71(Suppl 2) December 2, 2008. 12 – 36, Barba-Romero M.A., Barrot E., Bautista-Lorite J. et al. Сlinical guidelines for late-onset Pompe disease. Rev Neurol 2012; 54 (8): 497-507, Сupler E., Berger K., Leshner R. et al. Consensus treatment recommendations for late-onset Pompe Disease. Muscle and Nerve. 2012. 319-333.) современных международных клинических рекомендаций по диагностике, лечению и ведению пациентов с метаболическими болезнями.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Болезнь Помпе относится к редким наследственным заболеваниям, что исключает возможность проведения больших когортных и рандомизированных контролированных исследований и для создания протоколов диагностики и терапии используются лишь тематические исследования экспертов, опубликованные в последние два десятилетия.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Оценка качества доказательств и силы рекомендаций применения медицинских технологий проводилась в соответствии с унифицированной шкалой, приведенной в таблицах 1-3.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u w:val="single"/>
          <w:bdr w:val="none" w:sz="0" w:space="0" w:color="auto" w:frame="1"/>
          <w:lang w:eastAsia="ru-RU"/>
        </w:rPr>
        <w:t>Целевая аудитория данных клинических рекомендаций: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 общей врачебной практики (семейные врачи);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 педиатры;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Врачи-терапевты;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Врачи-генетики;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Врачи-лабораторные генетики;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Врачи-кардиологи;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Врачи-детские кардиологи;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 неврологи;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 рентгенологи;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 функциональной диагностики;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Врачи-оториноларингологи;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Медицинские психологи;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Студенты медицинских ВУЗов;</w:t>
      </w:r>
    </w:p>
    <w:p w:rsidR="00D46410" w:rsidRPr="00D46410" w:rsidRDefault="00D46410" w:rsidP="00D46410">
      <w:pPr>
        <w:numPr>
          <w:ilvl w:val="0"/>
          <w:numId w:val="5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Обучающиеся в ординатуре и интернатуре.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Таблица 1.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Шкала оценки уровней достоверности доказательств (УДД) для методов диагностики (диагностических вмешательств)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8584"/>
      </w:tblGrid>
      <w:tr w:rsidR="00D46410" w:rsidRPr="00D46410" w:rsidTr="00D46410"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УДД</w:t>
            </w:r>
          </w:p>
        </w:tc>
        <w:tc>
          <w:tcPr>
            <w:tcW w:w="4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Расшифровка</w:t>
            </w:r>
          </w:p>
        </w:tc>
      </w:tr>
      <w:tr w:rsidR="00D46410" w:rsidRPr="00D46410" w:rsidTr="00D46410"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4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мета-анализа</w:t>
            </w:r>
          </w:p>
        </w:tc>
      </w:tr>
      <w:tr w:rsidR="00D46410" w:rsidRPr="00D46410" w:rsidTr="00D46410"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дизайна, за исключением рандомизированных клинических исследований, с применением мета-анализа</w:t>
            </w:r>
          </w:p>
        </w:tc>
      </w:tr>
      <w:tr w:rsidR="00D46410" w:rsidRPr="00D46410" w:rsidTr="00D46410"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Исследования без последовательного контроля референсным методом или исследования с референсным методом, не являющимся независимым от исследуемого метода или нерандомизированные сравнительные исследования, в том числе когортные исследования</w:t>
            </w:r>
          </w:p>
        </w:tc>
      </w:tr>
      <w:tr w:rsidR="00D46410" w:rsidRPr="00D46410" w:rsidTr="00D46410"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Несравнительные исследования, описание клинического случая</w:t>
            </w:r>
          </w:p>
        </w:tc>
      </w:tr>
      <w:tr w:rsidR="00D46410" w:rsidRPr="00D46410" w:rsidTr="00D46410"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Имеется лишь обоснование механизма действия или мнение экспертов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 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Таблица 2.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 Шкала оценки уровней достоверности доказательств (УДД) для методов профилактики, лечения и реабилитации (профилактических, лечебных, реабилитационных вмешательств)</w:t>
      </w:r>
    </w:p>
    <w:tbl>
      <w:tblPr>
        <w:tblW w:w="50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8764"/>
      </w:tblGrid>
      <w:tr w:rsidR="00D46410" w:rsidRPr="00D46410" w:rsidTr="00D46410"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УДД</w:t>
            </w:r>
          </w:p>
        </w:tc>
        <w:tc>
          <w:tcPr>
            <w:tcW w:w="4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 Расшифровка</w:t>
            </w:r>
          </w:p>
        </w:tc>
      </w:tr>
      <w:tr w:rsidR="00D46410" w:rsidRPr="00D46410" w:rsidTr="00D46410"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4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Систематический обзор РКИ с применением мета-анализа</w:t>
            </w:r>
          </w:p>
        </w:tc>
      </w:tr>
      <w:tr w:rsidR="00D46410" w:rsidRPr="00D46410" w:rsidTr="00D46410"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Отдельные РКИ и систематические обзоры исследований любого дизайна, за исключением РКИ, с применением мета-анализа</w:t>
            </w:r>
          </w:p>
        </w:tc>
      </w:tr>
      <w:tr w:rsidR="00D46410" w:rsidRPr="00D46410" w:rsidTr="00D46410"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Нерандомизированные сравнительные исследования, в т.ч. когортные исследования</w:t>
            </w:r>
          </w:p>
        </w:tc>
      </w:tr>
      <w:tr w:rsidR="00D46410" w:rsidRPr="00D46410" w:rsidTr="00D46410"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Несравнительные исследования, описание клинического случая или серии случаев, исследования «случай-контроль»</w:t>
            </w:r>
          </w:p>
        </w:tc>
      </w:tr>
      <w:tr w:rsidR="00D46410" w:rsidRPr="00D46410" w:rsidTr="00D46410"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Имеется лишь обоснование механизма действия вмешательства (доклинические исследования) или мнение экспертов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Таблица 3.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 Шкала оценки уровней убедительности рекомендаций (УУР) для методов профилактики, диагностики, лечения и реабилитации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(профилактических, диагностических, лечебных, реабилитационных вмешательств)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1"/>
        <w:gridCol w:w="8018"/>
      </w:tblGrid>
      <w:tr w:rsidR="00D46410" w:rsidRPr="00D46410" w:rsidTr="00D46410"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УУР</w:t>
            </w:r>
          </w:p>
        </w:tc>
        <w:tc>
          <w:tcPr>
            <w:tcW w:w="4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Расшифровка</w:t>
            </w:r>
          </w:p>
        </w:tc>
      </w:tr>
      <w:tr w:rsidR="00D46410" w:rsidRPr="00D46410" w:rsidTr="00D46410"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A</w:t>
            </w:r>
          </w:p>
        </w:tc>
        <w:tc>
          <w:tcPr>
            <w:tcW w:w="4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Сильная рекомендация (все рассматриваемые критерии эффективности (исходы) являются важными, все исследования имеют высокое или удовлетворительное методологическое качество, их выводы по интересующим исходам являются согласованными)</w:t>
            </w:r>
          </w:p>
        </w:tc>
      </w:tr>
      <w:tr w:rsidR="00D46410" w:rsidRPr="00D46410" w:rsidTr="00D46410"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B</w:t>
            </w:r>
          </w:p>
        </w:tc>
        <w:tc>
          <w:tcPr>
            <w:tcW w:w="4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Условная рекомендация (не все рассматриваемые критерии эффективности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</w:t>
            </w:r>
          </w:p>
        </w:tc>
      </w:tr>
      <w:tr w:rsidR="00D46410" w:rsidRPr="00D46410" w:rsidTr="00D46410"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C</w:t>
            </w:r>
          </w:p>
        </w:tc>
        <w:tc>
          <w:tcPr>
            <w:tcW w:w="4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Слабая рекомендация (отсутствие доказательств 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Порядок обновления клинических рекомендаций.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Механизм обновления клинических рекомендаций предусматривает их систематическую актуализацию – не реже чем один раз в три года, а также при появлении новых данных с позиции доказательной медицины по вопросам диагностики, лечения, профилактики и реабилитации конкретных заболеваний, наличии обоснованных дополнений/замечаний к ранее утверждённым КР, но не чаще 1 раза в 6 месяцев.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А3. Связанные документы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Приказ Министерства здравоохранения РФ "Об утверждении Порядка оказания медицинской помощи больным с врожденными и (или) наследственными заболеваниями" от 15 ноября 2012 г. N 917н).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Приложение Б. Алгоритмы ведения пациента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noProof/>
        </w:rPr>
        <w:drawing>
          <wp:inline distT="0" distB="0" distL="0" distR="0">
            <wp:extent cx="5940425" cy="6671310"/>
            <wp:effectExtent l="0" t="0" r="3175" b="0"/>
            <wp:docPr id="62" name="Picture 62" descr="C:\Users\I0445923\AppData\Local\Microsoft\Windows\INetCache\Content.MSO\6AE821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0445923\AppData\Local\Microsoft\Windows\INetCache\Content.MSO\6AE8219A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В. Информация для пациентов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Болезнь Помпе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Болезнь Помпе это одна из 50 наследственных болезней, которые относятся к группе лизосомных болезней накопления. В лизосомах (органеллы клетки) происходит расщепление крупных молекул (макромолекул) таких как жиры, белки, гликозаминогликаны, гликоген. При разных болезнях нарушается определенная стадия расщепления этих макромолекул. Частота болезни Помпе (гликогеноза II-го типа) составляет примерно 1 случай на 140 000 (классическая инфантильная форма) и 1 на 60 000 для взрослой формы. Заболевание встречается практически во всех этнических группах.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      Болезнь Помпе редкое наследственное заболевание, при котором в организме не хватает определенного фермента - альфа глюкозидазы (синоним кислая мальтаза). В результате мутации в гене GAA, который кодирует этот фермент, в клетках накапливается особое вещество- гликоген. Это происходит в мышцах и в сердце. Если не начать лечение, то мышечная ткань изменяет структуру и не может выполнять свою функцию. Болезнь Помпе относится к прогрессирующим нервно- мышечным заболеваниям.  С течением времени симптомы болезни нарастают, присоединяется поражение новых групп мышц. Многие пациенты перестают самостоятельно ходить и становиться зависимыми от аппаратов искусственной вентиляции легких, поскольку происходит поражение мышц ответственных за дыхание. Известно несколько различных по тяжести и возрасту начала форм заболевания- ранняя (младенческая), поздняя младенческая (детская) и взрослая. Они отличаются симптомами и скоростью прогрессирования. Болезнь Помпе проявляется в виде мышечной слабости, атрофии мышц при всех формах заболевания. Для младенческой формы также характерно поражение мышцы сердца. Размеры сердца значительно увеличиваются, может быстро развиваться сердечная недостаточность.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Детям иногда сложно говорить, так как страдают все группы мышцы, речь становится невнятной, смазанной. Мышечная слабость может проявляться в неуклюжести, пациенты спотыкаются, им трудно подниматься по лестнице. Походка взрослых пациентов с болезнью Помпе - своеобразная, они стараются компенсировать дефект за счёт переноса центра тяжести. Чем меньше пациент двигается, тем больше вероятность развития искривлений позвоночника и появления контрактур.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Наследование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Наследуется болезнь Помпе по аутосомно- рецессивному типу. Больной БП ребенок наследует по одному измененному гену (гена с мутацией в своей последовательности) от каждого из родителей. В семьях где родители являются носителями болезни Помпе риск рождения больного БП ребенка составляет 25% на каждую беременность. Поэтому если в семье родился больной БП ребенок это не означает что все дети будут больны. Есть шанс родить здорового ребенка.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Как устанавливают диагноз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Врачи на основании клинических симптомов могут заподозрить болезнь. Затем проводятся лабораторные тесты и инструментальное исследование. Практически у всех больных БП в биохимическом анализе крови повышена активность ферментов креатинфосфокиназы, Алат, Асат. При проведении электронейромиографии определяют первично мышечной характер нарушения. Но эти симптомы могут встречаться и при других наследственных формах мышечных дистрофий. Для точного подтверждения диагноза необходимо определение активность альфа глюкозидазы в крови. Во многих случаях также рекомендуется проведения ДНК диагностики если активность фермента была снижена.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Лечение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Для лечения БП разработана специальная ферментная заместительная терапия. Смысл терапии заключается в том, что пациенту каждые две недели внутривенно вводят недостающий фермент. Препарат для ферментной заместительной терапии называется Алглюкозидаза альфа. В самой процедуре внутривенного введения фермента нет ничего сложного и страшного. Про определенном навыке это можно проводить в любой больнице.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Эффект терапии во многом зависит от того, когда было начато лечение. Если процесс в мышечной ткани дошел до определенной стадии восстановить утраченную функцию мышце невозможно.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Медико-генетическая консультация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          Семьям очень важно посетить врача генетика.  У врача генетика можно узнать риск рождения больного БП ребенка в данной семье, пройти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обследование родственникам если это необходимо. Обсудить пренатальную и преимплантационную диагностику. 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Пренатальная диагностика проводится на 9-11 неделях беременности.  В материале, который называется ворсины хориона (то из чего в последующем формируется плацента), определяют активность фермента и проводят тестирование для выявления мутаций в гене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GAA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. На основании проведенного анализа делают вывод болен плод или здоров.   Современные технологии позволяют проводить и преимплантационную диагностику. Оплодотворение проводится в пробирке, затем отбирают только те оплодотворенные эмбрионы на стадии нескольких бластомеров, в которых нет семейной мутации и их импланитируют в организм матери. При данной процедуре есть свои риски, которые может разъяснить врач генетик.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Болезнь Помпе не входит в перечень орфанных заболеваний, лечение которых проводится за счёт средств региональных бюджетов, однако, пациенты имеют возможность лечиться в России.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Помощь семьи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Не  забывайте: от семьи зависит успех лечения не в меньшей степени, чем от врача. Нужно соблюдать рекомендации, ни при каких условиях не терять надежду. И даже если вы не победите болезнь полностью, изменить жизнь к лучшему, сделать родного вам человека счастливым в ваших силах.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Г.</w:t>
      </w:r>
    </w:p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Г1. Основные симптомы МБП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2"/>
        <w:gridCol w:w="2168"/>
      </w:tblGrid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Клинический симптом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Частота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Синдром «вялого ребенка», быстрое прогрессирование мышечной слабости, аксиальная гипотония, снижение моторной активности, слабость мимических мышц, арефлексия в поздней стадии заболевания, икроножные мышцы плотные при пальпации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96%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Кардиомегалия, кардиомиопатия и/или сердечная недостаточность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95%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Гепатомегалия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82%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Макроглоссия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62%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Трудности при вскармливании и низкая прибавка в весе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50%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Частые респираторные инфекции, респираторный дистресс и снижение дыхательной функции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30-40%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Повышение уровня креатинкиназы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100%</w:t>
            </w:r>
          </w:p>
        </w:tc>
      </w:tr>
      <w:tr w:rsidR="00D46410" w:rsidRPr="00D46410" w:rsidTr="00D46410"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Быстрое и неуклонное прогрессирование заболевания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100%</w:t>
            </w:r>
          </w:p>
        </w:tc>
      </w:tr>
    </w:tbl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Г2. Основные клинические симптомы БППН 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0"/>
        <w:gridCol w:w="1900"/>
      </w:tblGrid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Признак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Частота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Прогрессирующая мышечная слабость с преимущественным поражением проксимальных отделов, снижение моторной активности, слабость в ногах больше, чем в руках, гипертрофия икроножных мышц, вовлечение параспинальных мышц (у детей постарше), гипотония,  снижение сухожильных рефлексов, положительные приемы Говерса, миопатическая походка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30-90%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Нарушения дыхания, частые респираторные инфекции, дыхательная недостаточность, диспноэ при физической нагрузке, обструктивное апноэ во время сна, ортопноэ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25-40%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Повышение уровня креатинкиназы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100%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Умеренная гепатомегалия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16%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Кардиомегалия, кардиомиопатия (менее выраженная, чем при дебюте до 1 года жизни)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0-12%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Макроглоссия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4%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Сонливость, утомляемость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до 8%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Лордоз, кифоз и/или сколиоз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9-25%</w:t>
            </w:r>
          </w:p>
        </w:tc>
      </w:tr>
      <w:tr w:rsidR="00D46410" w:rsidRPr="00D46410" w:rsidTr="00D46410"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Нормальное психоречевое развитие, сохранный интеллект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96%</w:t>
            </w:r>
          </w:p>
        </w:tc>
      </w:tr>
    </w:tbl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Г3. Выполнение двигательных тестов при БППН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5"/>
        <w:gridCol w:w="2300"/>
        <w:gridCol w:w="2092"/>
        <w:gridCol w:w="2073"/>
      </w:tblGrid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Предъявляемое задание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Выполняет без труда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Выполняет с трудом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Не может выполнить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Поднять руки над головой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55 %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29 %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16 %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Принять вертикальное положение из положения наклонившись вперед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14 %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45 %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41 %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Встать с низкого стула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12 %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53 %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35 %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Встать без помощи рук из положения лежа на спине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8 %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37 %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55 %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Подпрыгнуть на месте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6 %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29 %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65 %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Ходьба вверх/вниз по лестнице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57 %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41 %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Поднять ноги в положении лежа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43 %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55 %</w:t>
            </w:r>
          </w:p>
        </w:tc>
      </w:tr>
      <w:tr w:rsidR="00D46410" w:rsidRPr="00D46410" w:rsidTr="00D46410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Подняться с корточек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2 %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22 %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76 %</w:t>
            </w:r>
          </w:p>
        </w:tc>
      </w:tr>
    </w:tbl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Г4. Основные заболевания для дифференциального диагноза БППН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4759"/>
        <w:gridCol w:w="3235"/>
      </w:tblGrid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lastRenderedPageBreak/>
              <w:t>Тип нарушения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Диагноз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Основные схожие  симптомы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Мышечные дистрофии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Поясно-конечностная мышечная дистрофия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Дистрофинопатии (миодистрофия Дюшенна, Беккера)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Миофибриллярная миопатия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Миотоническая дистрофия 2 типа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Плечелопаточно-лицевая миодистрофия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Болезнь Данона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Х-сцепленная миопатия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Лицелопаточноконечностная мышечная дистрофия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Прогрессирующая слабость мышц поясов нижних конечностей, крыловидные лопатки, крампи, повышение КК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Воспалительная миопатия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Полимиозит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Миозит с включениями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Постепенно развивающаяся слабость мышц, повышение КК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Врожденные миопатии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Немалиновая миопатия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Болезнь центрального стержня и мультистержневая миопатии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Центронуклеарная миопатия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Миопатия с гиалиновыми тельцами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Прочие врожденные миопатии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Мышечная слабость, гипотония при нормальном или умеренно повышенном уровне КК, наличии скелетных нарушений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Метаболические миопатии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Гликогенозы IIIа, IV V и VII типов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Митохондриальные миопатии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Жировые миопатии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Гипотония, гепатомегалия у детей, слабость мышц, утомляемость, слабость мышц, снижение устойчивости к нагрузкам, повышение КК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Болезни мотонейрона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Спинальные мышечные атрофии, тип I и III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Бульбоспинальная амиотрофия (болезнь Кеннеди)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Боковой амиотрофический склероз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Слабость мышц, нарушение дыхания, атрофия мышц, возможно повышение КК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Болезни нервно-мышечной передачи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Миастения гравис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Врожденные миастенические синдромы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Синдром Ламберта-Итона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Нарушения дыхания, слабость мышц, утомляемость</w:t>
            </w:r>
          </w:p>
        </w:tc>
      </w:tr>
      <w:tr w:rsidR="00D46410" w:rsidRPr="00D46410" w:rsidTr="00D46410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Асимптомное повышение КК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Вторичная миопатия, включая лекарственную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Повышение КК</w:t>
            </w:r>
          </w:p>
        </w:tc>
      </w:tr>
    </w:tbl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Г5. Мониторинг пациента с БП</w:t>
      </w:r>
    </w:p>
    <w:tbl>
      <w:tblPr>
        <w:tblpPr w:leftFromText="45" w:rightFromText="45" w:vertAnchor="text"/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1720"/>
        <w:gridCol w:w="1316"/>
        <w:gridCol w:w="1316"/>
        <w:gridCol w:w="1316"/>
        <w:gridCol w:w="1316"/>
        <w:gridCol w:w="1316"/>
      </w:tblGrid>
      <w:tr w:rsidR="00D46410" w:rsidRPr="00D46410" w:rsidTr="00D46410">
        <w:tc>
          <w:tcPr>
            <w:tcW w:w="2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Все пациенты</w:t>
            </w:r>
          </w:p>
        </w:tc>
        <w:tc>
          <w:tcPr>
            <w:tcW w:w="31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Возраст &lt;5 лет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Возраст ≥ 5 лет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 момент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начала ФЗТ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Каждые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3 мес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Каждые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6 мес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Каждые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12 мес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Каждые 6 мес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Каждые 12 мес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Клинический статус пациента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Рост, вес, окружность головы у детей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АД, температура тела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Анализ крови*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Анализ мочи **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Рентгенография органов грудной клетки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ЭКГ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ЭхоКГ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Аудиометрия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Оценка остроты зрения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Оценка когнитивного статуса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Денситометрия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x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Оценка линейного роста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x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lastRenderedPageBreak/>
              <w:t>Оценка ФВД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Оценка моторного статуса по шкалам  и тесту 6MWT***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92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Оценка качества жизни</w:t>
            </w:r>
          </w:p>
        </w:tc>
      </w:tr>
      <w:tr w:rsidR="00D46410" w:rsidRPr="00D46410" w:rsidTr="00D4641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Опросник SF-36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</w:t>
            </w:r>
          </w:p>
        </w:tc>
      </w:tr>
    </w:tbl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* Анализ крови должен включать: АСТ, АЛТ, ЛДГ, КК (МВ-фракция), альбумин сыворотки, протромбиновое время, частичное тромбопластиновое время, общий билирубин, сывороточный креатинин.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** Анализ мочи должен включать: креатинин мочи, белок, СКФ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*** Используемые шкалы: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Шкала Альберта моторного развития младенцев (AIMS) (Приложение Г6)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Сила мышц по шкале комитета медицинских исследований (Приложение Г 7)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6MWT – тест 6-минутной ходьбы (6 minutes walking test, 6MWT) (Приложение Г8) [1]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Для мониторинга состояния пациентов, находящихся на патогенетической терапии, рекомендовано их наблюдение не реже одного раза в год в специализированных центрах, в которых может быть оказан объем медицинской помощи в соответствии с данными клиническим рекомендациями.</w:t>
      </w:r>
    </w:p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Г6. Шкала Альберта моторного развития младенцев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Название на русском языке: Шкала Альберта моторного развития младенцев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Оригинальное название (если есть): Alberta Infant Motor Scale (AIMS)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Источник (официальный сайт разработчиков, публикация с валидацией): Piper MC, Pinnell LE, Darrah J, Maguire T, Byrne PJ. Construction and validation of the Alberta Infant Motor Scale (AIMS). Can J Public Health. 1992;83:S46-50.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Тип (подчеркнуть):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u w:val="single"/>
          <w:lang w:eastAsia="ru-RU"/>
        </w:rPr>
        <w:t>шкала оценки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индекс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вопросник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другое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Назначение: моторная шкала для младенцев Альберты (AIMS), шкала наблюдательной оценки, была разработана для измерения общего двигательного созревания у детей от рождения до самостоятельной ходьбы.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Содержание (шаблон): Основываясь на литературе, 58 навыков были сгенерированы и распределены по четырем позициям: лежа, лежа, сидя и стоя. Каждому из навыков присваивается определенный балл 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Ключ (интерпретация): баллы суммируются и проводится общая оценка моторного развития и отклонение/соответствие нормальному развитию в перцентилях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Шкала Альберта моторного развития младенцев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                                                                                                                                     число/месяц/год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Фамилия, имя________________________ Дата исследования:        _____/_____/____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Идентификационный номер____________ Дата рождения:                _____/_____/____________________________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Исследователь________________________ Хронологический возраст: _____/_____/____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Место проведения исследования________ Скорректированный возраст: ____/____/____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2648"/>
        <w:gridCol w:w="2499"/>
        <w:gridCol w:w="3384"/>
      </w:tblGrid>
      <w:tr w:rsidR="00D46410" w:rsidRPr="00D46410" w:rsidTr="00D4641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Предшествующие засчитанные пункты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Пункты, засчитанные в «окне»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Балл по шкале</w:t>
            </w:r>
          </w:p>
        </w:tc>
      </w:tr>
      <w:tr w:rsidR="00D46410" w:rsidRPr="00D46410" w:rsidTr="00D4641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Положение на животе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Положение на спине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Посадка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Вставание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                                                                    Общий балл: ______  перцентиль: ______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Примечания/рекомендации: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ШКАЛА ОЦЕНКИ МОТОРНОГО РАЗВИТИЯ У МЛАДЕНЦЕВ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4164"/>
        <w:gridCol w:w="4372"/>
      </w:tblGrid>
      <w:tr w:rsidR="00D46410" w:rsidRPr="00D46410" w:rsidTr="00D46410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№ исследования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на животе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360805" cy="690880"/>
                  <wp:effectExtent l="0" t="0" r="0" b="0"/>
                  <wp:docPr id="61" name="Picture 61" descr="C:\Users\I0445923\AppData\Local\Microsoft\Windows\INetCache\Content.MSO\2F1AEC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0445923\AppData\Local\Microsoft\Windows\INetCache\Content.MSO\2F1AEC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животе (1)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Физиологическая флексия.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br/>
              <w:t>Поворачивает голову для отведения, носа от поверхности.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552575" cy="765810"/>
                  <wp:effectExtent l="0" t="0" r="9525" b="0"/>
                  <wp:docPr id="60" name="Picture 60" descr="C:\Users\I0445923\AppData\Local\Microsoft\Windows\INetCache\Content.MSO\1631CB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0445923\AppData\Local\Microsoft\Windows\INetCache\Content.MSO\1631CB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животе (2)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Симметрично поднимает голову под углом 45º.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br/>
              <w:t>Не способен удерживать голову на одной линии с туловищем.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26870" cy="775970"/>
                  <wp:effectExtent l="0" t="0" r="0" b="5080"/>
                  <wp:docPr id="59" name="Picture 59" descr="C:\Users\I0445923\AppData\Local\Microsoft\Windows\INetCache\Content.MSO\1B6CE9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0445923\AppData\Local\Microsoft\Windows\INetCache\Content.MSO\1B6CE9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на животе с опорой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Локти находятся позади плеч. Без поддержки поднимает голову под углом 45º.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05280" cy="956945"/>
                  <wp:effectExtent l="0" t="0" r="0" b="0"/>
                  <wp:docPr id="58" name="Picture 58" descr="C:\Users\I0445923\AppData\Local\Microsoft\Windows\INetCache\Content.MSO\2FCAFE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0445923\AppData\Local\Microsoft\Windows\INetCache\Content.MSO\2FCAFE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Опора на предплечья (1)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Поднимает и удерживает голову под углом более 45º. Локти на одной линии с плечами. Грудная клетка размещается по центру.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743710" cy="903605"/>
                  <wp:effectExtent l="0" t="0" r="8890" b="0"/>
                  <wp:docPr id="57" name="Picture 57" descr="C:\Users\I0445923\AppData\Local\Microsoft\Windows\INetCache\Content.MSO\99652D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0445923\AppData\Local\Microsoft\Windows\INetCache\Content.MSO\99652D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Подвижность в положении на животе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Поднимает голову под углом до 90º. Неконтролируемые попытки переноса веса.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26870" cy="840105"/>
                  <wp:effectExtent l="0" t="0" r="0" b="0"/>
                  <wp:docPr id="56" name="Picture 56" descr="C:\Users\I0445923\AppData\Local\Microsoft\Windows\INetCache\Content.MSO\EB95E5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0445923\AppData\Local\Microsoft\Windows\INetCache\Content.MSO\EB95E5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Опора на предплечья (2)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Локти находятся перед плечами. Активное подтягивание подбородка с вытягиванием шеи.</w:t>
            </w:r>
          </w:p>
        </w:tc>
      </w:tr>
      <w:tr w:rsidR="00D46410" w:rsidRPr="00D46410" w:rsidTr="00D46410"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на спине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467485" cy="829310"/>
                  <wp:effectExtent l="0" t="0" r="0" b="8890"/>
                  <wp:docPr id="55" name="Picture 55" descr="C:\Users\I0445923\AppData\Local\Microsoft\Windows\INetCache\Content.MSO\D122C3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0445923\AppData\Local\Microsoft\Windows\INetCache\Content.MSO\D122C3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спине (1)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Физиологическая флексия.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br/>
              <w:t>Поворот головы; подносит рот к руке. Беспорядочные движения руками и ногами.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701165" cy="595630"/>
                  <wp:effectExtent l="0" t="0" r="0" b="0"/>
                  <wp:docPr id="54" name="Picture 54" descr="C:\Users\I0445923\AppData\Local\Microsoft\Windows\INetCache\Content.MSO\8E616D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0445923\AppData\Local\Microsoft\Windows\INetCache\Content.MSO\8E616D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спине (2)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Поворот головы к средней линии. Необязательный асимметричный шейный тонический рефлекс (АШТР).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818005" cy="765810"/>
                  <wp:effectExtent l="0" t="0" r="0" b="0"/>
                  <wp:docPr id="53" name="Picture 53" descr="C:\Users\I0445923\AppData\Local\Microsoft\Windows\INetCache\Content.MSO\2C0F78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0445923\AppData\Local\Microsoft\Windows\INetCache\Content.MSO\2C0F78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спине (3)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Голова на одной линии с туловищем. 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Двигает руками, но не способен поднести руки к средней линии.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80210" cy="648335"/>
                  <wp:effectExtent l="0" t="0" r="0" b="0"/>
                  <wp:docPr id="52" name="Picture 52" descr="C:\Users\I0445923\AppData\Local\Microsoft\Windows\INetCache\Content.MSO\545542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0445923\AppData\Local\Microsoft\Windows\INetCache\Content.MSO\545542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спине (4)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Активность сгибателей шеи с подтягиванием подбородка. Подносит руки к средней линии.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26870" cy="871855"/>
                  <wp:effectExtent l="0" t="0" r="0" b="4445"/>
                  <wp:docPr id="51" name="Picture 51" descr="C:\Users\I0445923\AppData\Local\Microsoft\Windows\INetCache\Content.MSO\422BD8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0445923\AppData\Local\Microsoft\Windows\INetCache\Content.MSO\422BD8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Поднесение рук к коленям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Подтягивание подбородка. Достает руками до коленей. Активность брюшных мышц.</w:t>
            </w:r>
          </w:p>
        </w:tc>
      </w:tr>
      <w:tr w:rsidR="00D46410" w:rsidRPr="00D46410" w:rsidTr="00D46410"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lastRenderedPageBreak/>
              <w:t>Посадка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095375" cy="1510030"/>
                  <wp:effectExtent l="0" t="0" r="9525" b="0"/>
                  <wp:docPr id="50" name="Picture 50" descr="C:\Users\I0445923\AppData\Local\Microsoft\Windows\INetCache\Content.MSO\681DD0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0445923\AppData\Local\Microsoft\Windows\INetCache\Content.MSO\681DD0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с поддержкой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Поднимает и кратковременно удерживает голову на одной линии с туловищем.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360805" cy="1212215"/>
                  <wp:effectExtent l="0" t="0" r="0" b="6985"/>
                  <wp:docPr id="49" name="Picture 49" descr="C:\Users\I0445923\AppData\Local\Microsoft\Windows\INetCache\Content.MSO\D61B2E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0445923\AppData\Local\Microsoft\Windows\INetCache\Content.MSO\D61B2E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с опорой на руки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Удерживает голову на одной линии с туловищем. Кратковременно опирается на руки.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297305" cy="1212215"/>
                  <wp:effectExtent l="0" t="0" r="0" b="6985"/>
                  <wp:docPr id="48" name="Picture 48" descr="C:\Users\I0445923\AppData\Local\Microsoft\Windows\INetCache\Content.MSO\96D842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0445923\AppData\Local\Microsoft\Windows\INetCache\Content.MSO\96D842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Подтягивание в сидячее положение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Подтягивает подбородок; голова на одной линии с туловищем или впереди.</w:t>
            </w:r>
          </w:p>
        </w:tc>
      </w:tr>
      <w:tr w:rsidR="00D46410" w:rsidRPr="00D46410" w:rsidTr="00D46410"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Вставание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062990" cy="1339850"/>
                  <wp:effectExtent l="0" t="0" r="3810" b="0"/>
                  <wp:docPr id="47" name="Picture 47" descr="C:\Users\I0445923\AppData\Local\Microsoft\Windows\INetCache\Content.MSO\6BEF88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0445923\AppData\Local\Microsoft\Windows\INetCache\Content.MSO\6BEF88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Опора на ноги с поддержкой (1)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Возможно попеременное сгибание в тазобедренном и коленном суставах.</w:t>
            </w:r>
          </w:p>
        </w:tc>
      </w:tr>
      <w:tr w:rsidR="00D46410" w:rsidRPr="00D46410" w:rsidTr="00D464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956945" cy="1424940"/>
                  <wp:effectExtent l="0" t="0" r="0" b="3810"/>
                  <wp:docPr id="46" name="Picture 46" descr="C:\Users\I0445923\AppData\Local\Microsoft\Windows\INetCache\Content.MSO\2CBE85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0445923\AppData\Local\Microsoft\Windows\INetCache\Content.MSO\2CBE85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Опора на ноги с поддержкой (2)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Голова на одной линии с туловищем. Бедра находятся позади плеч. Разнообразные движения ногами.</w:t>
            </w:r>
          </w:p>
        </w:tc>
      </w:tr>
    </w:tbl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5"/>
        <w:gridCol w:w="3295"/>
        <w:gridCol w:w="3570"/>
      </w:tblGrid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Опора на вытянутые руки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Перекатывание из положения на животе в положение на спине без поворота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Плавание</w:t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lastRenderedPageBreak/>
              <w:drawing>
                <wp:inline distT="0" distB="0" distL="0" distR="0">
                  <wp:extent cx="1818005" cy="1010285"/>
                  <wp:effectExtent l="0" t="0" r="0" b="0"/>
                  <wp:docPr id="45" name="Picture 45" descr="C:\Users\I0445923\AppData\Local\Microsoft\Windows\INetCache\Content.MSO\C6B5B0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0445923\AppData\Local\Microsoft\Windows\INetCache\Content.MSO\C6B5B0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05280" cy="988695"/>
                  <wp:effectExtent l="0" t="0" r="0" b="1905"/>
                  <wp:docPr id="44" name="Picture 44" descr="C:\Users\I0445923\AppData\Local\Microsoft\Windows\INetCache\Content.MSO\269345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0445923\AppData\Local\Microsoft\Windows\INetCache\Content.MSO\269345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871345" cy="956945"/>
                  <wp:effectExtent l="0" t="0" r="0" b="0"/>
                  <wp:docPr id="43" name="Picture 43" descr="C:\Users\I0445923\AppData\Local\Microsoft\Windows\INetCache\Content.MSO\58C132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0445923\AppData\Local\Microsoft\Windows\INetCache\Content.MSO\58C132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Руки вытянуты. Подтягивание подбородка с подъемом грудной клетки. Боковой перенос веса.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Движение инициируется головой. Туловище движется как одно целое.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Паттерн активности разгибателей.</w:t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Попытка дотянуться до предмета из упора на предплечья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Переворот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Перекатывание из положения на животе в положение на спине с поворотом</w:t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871345" cy="871855"/>
                  <wp:effectExtent l="0" t="0" r="0" b="4445"/>
                  <wp:docPr id="42" name="Picture 42" descr="C:\Users\I0445923\AppData\Local\Microsoft\Windows\INetCache\Content.MSO\A3CDEE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0445923\AppData\Local\Microsoft\Windows\INetCache\Content.MSO\A3CDEE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339850" cy="1445895"/>
                  <wp:effectExtent l="0" t="0" r="0" b="1905"/>
                  <wp:docPr id="41" name="Picture 41" descr="C:\Users\I0445923\AppData\Local\Microsoft\Windows\INetCache\Content.MSO\72B85C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0445923\AppData\Local\Microsoft\Windows\INetCache\Content.MSO\72B85C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552575" cy="871855"/>
                  <wp:effectExtent l="0" t="0" r="9525" b="4445"/>
                  <wp:docPr id="40" name="Picture 40" descr="C:\Users\I0445923\AppData\Local\Microsoft\Windows\INetCache\Content.MSO\4586AB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0445923\AppData\Local\Microsoft\Windows\INetCache\Content.MSO\4586AB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Активный перенос веса с одной стороны. Контролируемая попытка дотянуться до предмета свободной рукой.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Перевороты.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Движения рук и ног.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Боковая флексия туловища.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Поворот туловища</w:t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на четвереньках (1)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Поднесение рук к ступням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Перекатывание из положения на спине в положение на животе без поворота</w:t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05280" cy="1158875"/>
                  <wp:effectExtent l="0" t="0" r="0" b="3175"/>
                  <wp:docPr id="39" name="Picture 39" descr="C:\Users\I0445923\AppData\Local\Microsoft\Windows\INetCache\Content.MSO\BD6038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0445923\AppData\Local\Microsoft\Windows\INetCache\Content.MSO\BD6038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26870" cy="1105535"/>
                  <wp:effectExtent l="0" t="0" r="0" b="0"/>
                  <wp:docPr id="38" name="Picture 38" descr="C:\Users\I0445923\AppData\Local\Microsoft\Windows\INetCache\Content.MSO\E6226A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0445923\AppData\Local\Microsoft\Windows\INetCache\Content.MSO\E6226A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403350" cy="1403350"/>
                  <wp:effectExtent l="0" t="0" r="6350" b="6350"/>
                  <wp:docPr id="37" name="Picture 37" descr="C:\Users\I0445923\AppData\Local\Microsoft\Windows\INetCache\Content.MSO\4A2893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0445923\AppData\Local\Microsoft\Windows\INetCache\Content.MSO\4A2893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3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Ноги согнуты, отведены и повернуты кнаружи. Поясничный лордоз. Удерживает положение.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 xml:space="preserve">Способен удерживать ноги в среднем положении. Присутствует 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подвижность в тазовом отделе.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Боковое выпрямление головы. Туловище движется как одно целое.</w:t>
            </w:r>
          </w:p>
        </w:tc>
      </w:tr>
    </w:tbl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4"/>
        <w:gridCol w:w="84"/>
        <w:gridCol w:w="145"/>
        <w:gridCol w:w="328"/>
        <w:gridCol w:w="2595"/>
        <w:gridCol w:w="165"/>
        <w:gridCol w:w="606"/>
        <w:gridCol w:w="2909"/>
        <w:gridCol w:w="444"/>
      </w:tblGrid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Перекатывание из положения на спине в положение на животе с поворотом</w:t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Активное вытягивание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без поддержки</w:t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903095" cy="871855"/>
                  <wp:effectExtent l="0" t="0" r="1905" b="4445"/>
                  <wp:docPr id="36" name="Picture 36" descr="C:\Users\I0445923\AppData\Local\Microsoft\Windows\INetCache\Content.MSO\D5BED5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0445923\AppData\Local\Microsoft\Windows\INetCache\Content.MSO\D5BED5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26870" cy="616585"/>
                  <wp:effectExtent l="0" t="0" r="0" b="0"/>
                  <wp:docPr id="35" name="Picture 35" descr="C:\Users\I0445923\AppData\Local\Microsoft\Windows\INetCache\Content.MSO\4677F9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I0445923\AppData\Local\Microsoft\Windows\INetCache\Content.MSO\4677F9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988695" cy="1243965"/>
                  <wp:effectExtent l="0" t="0" r="1905" b="0"/>
                  <wp:docPr id="34" name="Picture 34" descr="C:\Users\I0445923\AppData\Local\Microsoft\Windows\INetCache\Content.MSO\875E58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0445923\AppData\Local\Microsoft\Windows\INetCache\Content.MSO\875E58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Поворот туловища.</w:t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Вытягивается, отталкивась ногами.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Приведение лопаток и разгибание плеч. Не способен удержать положение.</w:t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с опорой на руки</w:t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без поддержки без опоры на руки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Перенос веса в положении сидя без поддержки</w:t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212215" cy="1445895"/>
                  <wp:effectExtent l="0" t="0" r="6985" b="1905"/>
                  <wp:docPr id="33" name="Picture 33" descr="C:\Users\I0445923\AppData\Local\Microsoft\Windows\INetCache\Content.MSO\1DB7B6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0445923\AppData\Local\Microsoft\Windows\INetCache\Content.MSO\1DB7B6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095375" cy="1445895"/>
                  <wp:effectExtent l="0" t="0" r="9525" b="1905"/>
                  <wp:docPr id="32" name="Picture 32" descr="C:\Users\I0445923\AppData\Local\Microsoft\Windows\INetCache\Content.MSO\5AD421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0445923\AppData\Local\Microsoft\Windows\INetCache\Content.MSO\5AD421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010285" cy="1318260"/>
                  <wp:effectExtent l="0" t="0" r="0" b="0"/>
                  <wp:docPr id="31" name="Picture 31" descr="C:\Users\I0445923\AppData\Local\Microsoft\Windows\INetCache\Content.MSO\961FD5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0445923\AppData\Local\Microsoft\Windows\INetCache\Content.MSO\961FD5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Вытягивание грудного отдела позвоночника. Движения головы, независимые от туловища; опирается на вытянутые руки.</w:t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Не может оставаться один в сидячем положении неограниченное время.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Перенос веса вперед, назад или в стороны. Не может оставаться один в сидячем положении.</w:t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без опоры на руки (1)</w:t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Попытка дотянуться до предмета с поворотом в положении сидя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Вставание с поддержкой (3)</w:t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lastRenderedPageBreak/>
              <w:drawing>
                <wp:inline distT="0" distB="0" distL="0" distR="0">
                  <wp:extent cx="1158875" cy="1212215"/>
                  <wp:effectExtent l="0" t="0" r="3175" b="6985"/>
                  <wp:docPr id="30" name="Picture 30" descr="C:\Users\I0445923\AppData\Local\Microsoft\Windows\INetCache\Content.MSO\EF701A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0445923\AppData\Local\Microsoft\Windows\INetCache\Content.MSO\EF701A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956945" cy="1360805"/>
                  <wp:effectExtent l="0" t="0" r="0" b="0"/>
                  <wp:docPr id="29" name="Picture 29" descr="C:\Users\I0445923\AppData\Local\Microsoft\Windows\INetCache\Content.MSO\344323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I0445923\AppData\Local\Microsoft\Windows\INetCache\Content.MSO\344323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871855" cy="1584325"/>
                  <wp:effectExtent l="0" t="0" r="4445" b="0"/>
                  <wp:docPr id="28" name="Picture 28" descr="C:\Users\I0445923\AppData\Local\Microsoft\Windows\INetCache\Content.MSO\2B6AF0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I0445923\AppData\Local\Microsoft\Windows\INetCache\Content.MSO\2B6AF0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Руки не прижаты к телу. Способен играть с игрушкой. Может оставаться один в сидячем положении.</w:t>
            </w:r>
          </w:p>
        </w:tc>
        <w:tc>
          <w:tcPr>
            <w:tcW w:w="3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Сидит самостоятельно. Тянется к игрушке с поворотом туловища.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Бедра находятся на линии плеч. Активный контроль туловища. Разнообразные движения ногами.</w:t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лежа на боку с опорой</w:t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Реципрокное ползание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Перемещение из положения на четвереньках в положение сидя или полусидя</w:t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477645" cy="1062990"/>
                  <wp:effectExtent l="0" t="0" r="8255" b="3810"/>
                  <wp:docPr id="27" name="Picture 27" descr="C:\Users\I0445923\AppData\Local\Microsoft\Windows\INetCache\Content.MSO\F15B2C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0445923\AppData\Local\Microsoft\Windows\INetCache\Content.MSO\F15B2C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26870" cy="1084580"/>
                  <wp:effectExtent l="0" t="0" r="0" b="1270"/>
                  <wp:docPr id="26" name="Picture 26" descr="C:\Users\I0445923\AppData\Local\Microsoft\Windows\INetCache\Content.MSO\E4120E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0445923\AppData\Local\Microsoft\Windows\INetCache\Content.MSO\E4120E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743710" cy="1243965"/>
                  <wp:effectExtent l="0" t="0" r="8890" b="0"/>
                  <wp:docPr id="25" name="Picture 25" descr="C:\Users\I0445923\AppData\Local\Microsoft\Windows\INetCache\Content.MSO\10543BD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0445923\AppData\Local\Microsoft\Windows\INetCache\Content.MSO\10543BD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Разобщенность ног. Неподвижность плеч. Поворот в пределах оси тела.</w:t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Реципрокные движения рук и ног с поворотом туловища.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Перемещается в данное положение и из него.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Может принимать сидячее положение.</w:t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Реципрокное ползание на четвереньках (1)</w:t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Попытка дотянуться до предмета из упора на вытянутую руку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на четвереньках (2)</w:t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786255" cy="988695"/>
                  <wp:effectExtent l="0" t="0" r="4445" b="1905"/>
                  <wp:docPr id="24" name="Picture 24" descr="C:\Users\I0445923\AppData\Local\Microsoft\Windows\INetCache\Content.MSO\D2B3A2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0445923\AppData\Local\Microsoft\Windows\INetCache\Content.MSO\D2B3A2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701165" cy="1424940"/>
                  <wp:effectExtent l="0" t="0" r="0" b="3810"/>
                  <wp:docPr id="23" name="Picture 23" descr="C:\Users\I0445923\AppData\Local\Microsoft\Windows\INetCache\Content.MSO\9D995E1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0445923\AppData\Local\Microsoft\Windows\INetCache\Content.MSO\9D995E1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510030" cy="1212215"/>
                  <wp:effectExtent l="0" t="0" r="0" b="6985"/>
                  <wp:docPr id="22" name="Picture 22" descr="C:\Users\I0445923\AppData\Local\Microsoft\Windows\INetCache\Content.MSO\424A96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0445923\AppData\Local\Microsoft\Windows\INetCache\Content.MSO\424A96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 xml:space="preserve">Ноги отведены и повернуты кнаружи. Поясничный лордоз; перенос веса с одной 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стороны на другую с боковой флексией туловища.</w:t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Тянется к предмету вытянутой рукой. Поворот туловища.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Бедра выровнены под тазом. Уплощение поясничного отдела.</w:t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Модифицированное положение на четвереньках</w:t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Перемещение из положения сидя в положение на животе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Перемещение из положения сидя на четвереньки</w:t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743710" cy="1360805"/>
                  <wp:effectExtent l="0" t="0" r="8890" b="0"/>
                  <wp:docPr id="21" name="Picture 21" descr="C:\Users\I0445923\AppData\Local\Microsoft\Windows\INetCache\Content.MSO\E5A05F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0445923\AppData\Local\Microsoft\Windows\INetCache\Content.MSO\E5A05F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05280" cy="1212215"/>
                  <wp:effectExtent l="0" t="0" r="0" b="6985"/>
                  <wp:docPr id="20" name="Picture 20" descr="C:\Users\I0445923\AppData\Local\Microsoft\Windows\INetCache\Content.MSO\A1EA97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0445923\AppData\Local\Microsoft\Windows\INetCache\Content.MSO\A1EA977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477645" cy="1445895"/>
                  <wp:effectExtent l="0" t="0" r="8255" b="1905"/>
                  <wp:docPr id="19" name="Picture 19" descr="C:\Users\I0445923\AppData\Local\Microsoft\Windows\INetCache\Content.MSO\EE35CA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0445923\AppData\Local\Microsoft\Windows\INetCache\Content.MSO\EE35CA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10" w:rsidRPr="00D46410" w:rsidTr="00D46410"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Перемещается в данное положение. Возможно продвижение вперед.</w:t>
            </w:r>
          </w:p>
        </w:tc>
        <w:tc>
          <w:tcPr>
            <w:tcW w:w="33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Перемещается из положения сидя, чтобы лечь на живот. Подтягивается руками, ноги неактивны.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Активно поднимает таз, ягодицы и ненагруженную ногу, чтобы встать на четвереньки.</w:t>
            </w:r>
          </w:p>
        </w:tc>
      </w:tr>
      <w:tr w:rsidR="00D46410" w:rsidRPr="00D46410" w:rsidTr="00D46410">
        <w:tc>
          <w:tcPr>
            <w:tcW w:w="3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Самостоятельное стояние</w:t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Первые шаги</w:t>
            </w: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Вставание из модифицированного положения на корточках</w:t>
            </w:r>
          </w:p>
        </w:tc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595630" cy="1701165"/>
                  <wp:effectExtent l="0" t="0" r="0" b="0"/>
                  <wp:docPr id="18" name="Picture 18" descr="C:\Users\I0445923\AppData\Local\Microsoft\Windows\INetCache\Content.MSO\E7EC11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I0445923\AppData\Local\Microsoft\Windows\INetCache\Content.MSO\E7EC11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212215" cy="1797050"/>
                  <wp:effectExtent l="0" t="0" r="6985" b="0"/>
                  <wp:docPr id="17" name="Picture 17" descr="C:\Users\I0445923\AppData\Local\Microsoft\Windows\INetCache\Content.MSO\BE88ED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I0445923\AppData\Local\Microsoft\Windows\INetCache\Content.MSO\BE88ED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445895" cy="1584325"/>
                  <wp:effectExtent l="0" t="0" r="1905" b="0"/>
                  <wp:docPr id="16" name="Picture 16" descr="C:\Users\I0445923\AppData\Local\Microsoft\Windows\INetCache\Content.MSO\71D82F8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I0445923\AppData\Local\Microsoft\Windows\INetCache\Content.MSO\71D82F8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В течение короткого времени стоит самостоятельно. Уравновешивает реакции в ступнях.</w:t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Ходит самостоятельно; передвигается быстро мелкими шагами.</w:t>
            </w: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Перемещается из положения на корточках в положение стоя с контролируемой флексией и выпрямлением бедер и коленей.</w:t>
            </w:r>
          </w:p>
        </w:tc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Вставание из опоры на четыре конечности</w:t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Самостоятельное хождение</w:t>
            </w: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Сидение на корточках</w:t>
            </w:r>
          </w:p>
        </w:tc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lastRenderedPageBreak/>
              <w:drawing>
                <wp:inline distT="0" distB="0" distL="0" distR="0">
                  <wp:extent cx="1605280" cy="1158875"/>
                  <wp:effectExtent l="0" t="0" r="0" b="3175"/>
                  <wp:docPr id="15" name="Picture 15" descr="C:\Users\I0445923\AppData\Local\Microsoft\Windows\INetCache\Content.MSO\1F7D2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I0445923\AppData\Local\Microsoft\Windows\INetCache\Content.MSO\1F7D2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956945" cy="1616075"/>
                  <wp:effectExtent l="0" t="0" r="0" b="3175"/>
                  <wp:docPr id="14" name="Picture 14" descr="C:\Users\I0445923\AppData\Local\Microsoft\Windows\INetCache\Content.MSO\CD14DE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I0445923\AppData\Local\Microsoft\Windows\INetCache\Content.MSO\CD14DE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212215" cy="1530985"/>
                  <wp:effectExtent l="0" t="0" r="6985" b="0"/>
                  <wp:docPr id="13" name="Picture 13" descr="C:\Users\I0445923\AppData\Local\Microsoft\Windows\INetCache\Content.MSO\519B46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I0445923\AppData\Local\Microsoft\Windows\INetCache\Content.MSO\519B46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Быстро отталкивается ладонями, чтобы встать.</w:t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Ходит самостоятельно.</w:t>
            </w: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Сохраняет положение, уравновешивая реакции в ступнях и положение туловища.</w:t>
            </w:r>
          </w:p>
        </w:tc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Посадка без опоры на руки (2)</w:t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Подтягивается для вставания с опорой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Подтягивается для вставания / стоит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744220" cy="1456690"/>
                  <wp:effectExtent l="0" t="0" r="0" b="0"/>
                  <wp:docPr id="12" name="Picture 12" descr="C:\Users\I0445923\AppData\Local\Microsoft\Windows\INetCache\Content.MSO\9450CA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I0445923\AppData\Local\Microsoft\Windows\INetCache\Content.MSO\9450CA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297305" cy="1552575"/>
                  <wp:effectExtent l="0" t="0" r="0" b="9525"/>
                  <wp:docPr id="11" name="Picture 11" descr="C:\Users\I0445923\AppData\Local\Microsoft\Windows\INetCache\Content.MSO\3092D5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I0445923\AppData\Local\Microsoft\Windows\INetCache\Content.MSO\3092D5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903605" cy="1552575"/>
                  <wp:effectExtent l="0" t="0" r="0" b="9525"/>
                  <wp:docPr id="10" name="Picture 10" descr="C:\Users\I0445923\AppData\Local\Microsoft\Windows\INetCache\Content.MSO\4DAF5F5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I0445923\AppData\Local\Microsoft\Windows\INetCache\Content.MSO\4DAF5F5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Положение ног варьирует. Младенец легко перемещается из одного положения в другое.</w:t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Отталкивается руками и выпрямляет колени.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Подтягивается, чтобы встать; переносит вес с одной стороны на другую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Вставание с опорой с поворотом</w:t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Хождение с опорой без поворота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Положение на одном колене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о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988695" cy="1605280"/>
                  <wp:effectExtent l="0" t="0" r="1905" b="0"/>
                  <wp:docPr id="9" name="Picture 9" descr="C:\Users\I0445923\AppData\Local\Microsoft\Windows\INetCache\Content.MSO\8710CB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I0445923\AppData\Local\Microsoft\Windows\INetCache\Content.MSO\8710CB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744220" cy="1584325"/>
                  <wp:effectExtent l="0" t="0" r="0" b="0"/>
                  <wp:docPr id="8" name="Picture 8" descr="C:\Users\I0445923\AppData\Local\Microsoft\Windows\INetCache\Content.MSO\F5B4C8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I0445923\AppData\Local\Microsoft\Windows\INetCache\Content.MSO\F5B4C8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158875" cy="1626870"/>
                  <wp:effectExtent l="0" t="0" r="3175" b="0"/>
                  <wp:docPr id="7" name="Picture 7" descr="C:\Users\I0445923\AppData\Local\Microsoft\Windows\INetCache\Content.MSO\282633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0445923\AppData\Local\Microsoft\Windows\INetCache\Content.MSO\282633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Поворот туловища и таза.</w:t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Ходит с опорой в боковом направлении без поворота.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Может вставать или перемещаться в данное положение.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Контролируемое опускание из положения стоя</w:t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Реципрокное ползание на четвереньках (2)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Хождение с опорой с поворотом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212215" cy="1424940"/>
                  <wp:effectExtent l="0" t="0" r="6985" b="3810"/>
                  <wp:docPr id="6" name="Picture 6" descr="C:\Users\I0445923\AppData\Local\Microsoft\Windows\INetCache\Content.MSO\A2F1F2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I0445923\AppData\Local\Microsoft\Windows\INetCache\Content.MSO\A2F1F2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1680210" cy="1158875"/>
                  <wp:effectExtent l="0" t="0" r="0" b="3175"/>
                  <wp:docPr id="5" name="Picture 5" descr="C:\Users\I0445923\AppData\Local\Microsoft\Windows\INetCache\Content.MSO\AE4EDA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I0445923\AppData\Local\Microsoft\Windows\INetCache\Content.MSO\AE4EDA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drawing>
                <wp:inline distT="0" distB="0" distL="0" distR="0">
                  <wp:extent cx="829310" cy="1786255"/>
                  <wp:effectExtent l="0" t="0" r="8890" b="4445"/>
                  <wp:docPr id="4" name="Picture 4" descr="C:\Users\I0445923\AppData\Local\Microsoft\Windows\INetCache\Content.MSO\6E7089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I0445923\AppData\Local\Microsoft\Windows\INetCache\Content.MSO\6E7089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Контролируемое опускание из положения стоя.</w:t>
            </w:r>
          </w:p>
        </w:tc>
        <w:tc>
          <w:tcPr>
            <w:tcW w:w="3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Плоский поясничный отдел. Движется с поворотом туловища.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Ходит с опорой с поворотом.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Оценка результатов обследования по шкале Альберта моторного развития ребенка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Величины перцентилей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noProof/>
        </w:rPr>
        <w:lastRenderedPageBreak/>
        <w:drawing>
          <wp:inline distT="0" distB="0" distL="0" distR="0">
            <wp:extent cx="5940425" cy="7643495"/>
            <wp:effectExtent l="0" t="0" r="3175" b="0"/>
            <wp:docPr id="3" name="Picture 3" descr="C:\Users\I0445923\AppData\Local\Microsoft\Windows\INetCache\Content.MSO\BABD4C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0445923\AppData\Local\Microsoft\Windows\INetCache\Content.MSO\BABD4C54.tmp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Г7. Сила мышц по шкале комитета медицинских исследований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Название на русском языке: БП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Оригинальное название (если есть): RESEARCH COUNCIL SCALE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Источник (официальный сайт разработчиков, публикация с валидацией): van der Ploeg, R.J.O., Oosterhuis, H.J.G.H. &amp; Reuvekamp, J. Measuring muscle strengthJ Neurol (1984) 231: 200. https://doi.org/10.1007/BF00313939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Тип (подчеркнуть):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u w:val="single"/>
          <w:lang w:eastAsia="ru-RU"/>
        </w:rPr>
        <w:t>шкала оценки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индекс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вопросник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другое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Назначение:   Данная шкала позволяет оценить: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  силу исследуемых мышц на момент осмотра по баллам;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динамику вовлечения определенных мышц и целых мышечных групп;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- скорость прогрессирования миопатического процесса.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Содержание (шаблон):    шкала представляет мышечную силу в баллах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Ключ (интерпретация):  чем выше балл, тем выше сила мышц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Сила мышц по шкале британского комитета медицинских исследований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6"/>
        <w:gridCol w:w="8464"/>
      </w:tblGrid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Балл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Определение силы</w:t>
            </w:r>
          </w:p>
        </w:tc>
      </w:tr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Нормальная сила</w:t>
            </w:r>
          </w:p>
        </w:tc>
      </w:tr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Способность поднимать конечность против небольшого сопротивления</w:t>
            </w:r>
          </w:p>
        </w:tc>
      </w:tr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Способность поднимать конечность, но не против сопротивления</w:t>
            </w:r>
          </w:p>
        </w:tc>
      </w:tr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Движения только в горизонтальной плоскости</w:t>
            </w:r>
          </w:p>
        </w:tc>
      </w:tr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Слабое сокращение  мышц</w:t>
            </w:r>
          </w:p>
        </w:tc>
      </w:tr>
      <w:tr w:rsidR="00D46410" w:rsidRPr="00D46410" w:rsidTr="00D46410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b/>
                <w:bCs/>
                <w:sz w:val="17"/>
                <w:szCs w:val="17"/>
                <w:bdr w:val="none" w:sz="0" w:space="0" w:color="auto" w:frame="1"/>
                <w:lang w:eastAsia="ru-RU"/>
              </w:rPr>
              <w:lastRenderedPageBreak/>
              <w:t>0</w:t>
            </w:r>
          </w:p>
        </w:tc>
        <w:tc>
          <w:tcPr>
            <w:tcW w:w="7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Движения отсутствуют</w:t>
            </w:r>
          </w:p>
        </w:tc>
      </w:tr>
    </w:tbl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000000"/>
          <w:kern w:val="36"/>
          <w:sz w:val="48"/>
          <w:szCs w:val="48"/>
          <w:lang w:eastAsia="ru-RU"/>
        </w:rPr>
        <w:t>Приложение Г8. 6MWT – тест 6-минутной ходьбы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Название на русском языке: тест 6-минутной ходьбы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Оригинальное название (если есть): The six minute walking test (6MWT)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Источник (официальный сайт разработчиков, публикация с валидацией):  Laboratories, A. T. S. C. o. P. S. f. C. P. F. (2002). "ATS statement: guidelines for the six-minute walk test." Am J Respir Crit Care Med 166(1): 111-117.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Тип (подчеркнуть):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шкала оценки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индекс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вопросник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u w:val="single"/>
          <w:lang w:eastAsia="ru-RU"/>
        </w:rPr>
        <w:t>другое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Назначение: определение выносливости пациентов с целью оценки эффективности терапии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Содержание (шаблон):   В тесте оценивается дистанция в метрах, пройденная пациентом за 6 минут без вынужденных остановок.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Ключ (интерпретация): проводится сравнение с результатами теста, проведенного ранее (до начала терапии, на фоне терапии и тд)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6MWT – тест 6-минутной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</w:t>
      </w: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ходьбы (6 minutes walking test, 6MWT)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Следует помнить, что для данного теста имеются следующие абсолютные противопоказания: нестабильная стенокардия напряжения и инфаркт миокарда, давностью до 1 месяца. Относительными противопоказаниями являются: ЧСС выше 120/мин в покое, систолическое АД &gt;180 мм.рт.ст. и </w:t>
      </w: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диастолическое АД &gt; 100 мм.рт.ст. Стабильная стенокардия не является абсолютным противопоказанием для проведения теста, однако его следует проводить с осторожностью, на фоне приема антиангинальных препаратов по показаниям.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Если пациент находится на постоянной кислородной поддержке, скорость подачи кислорода при проведении теста должна сохраняться в соответствии с предписанием врача, назначившего и контролирующего терапию.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Проведение теста необходимо немедленно прекратить в случае появления:</w:t>
      </w:r>
    </w:p>
    <w:p w:rsidR="00D46410" w:rsidRPr="00D46410" w:rsidRDefault="00D46410" w:rsidP="00D46410">
      <w:pPr>
        <w:numPr>
          <w:ilvl w:val="0"/>
          <w:numId w:val="56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Боли в груди;</w:t>
      </w:r>
    </w:p>
    <w:p w:rsidR="00D46410" w:rsidRPr="00D46410" w:rsidRDefault="00D46410" w:rsidP="00D46410">
      <w:pPr>
        <w:numPr>
          <w:ilvl w:val="0"/>
          <w:numId w:val="56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Непереносимой одышки;</w:t>
      </w:r>
    </w:p>
    <w:p w:rsidR="00D46410" w:rsidRPr="00D46410" w:rsidRDefault="00D46410" w:rsidP="00D46410">
      <w:pPr>
        <w:numPr>
          <w:ilvl w:val="0"/>
          <w:numId w:val="56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Крампи в ногах;</w:t>
      </w:r>
    </w:p>
    <w:p w:rsidR="00D46410" w:rsidRPr="00D46410" w:rsidRDefault="00D46410" w:rsidP="00D46410">
      <w:pPr>
        <w:numPr>
          <w:ilvl w:val="0"/>
          <w:numId w:val="56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Резкой неустойчивости и пошатывания при ходьбе;</w:t>
      </w:r>
    </w:p>
    <w:p w:rsidR="00D46410" w:rsidRPr="00D46410" w:rsidRDefault="00D46410" w:rsidP="00D46410">
      <w:pPr>
        <w:numPr>
          <w:ilvl w:val="0"/>
          <w:numId w:val="56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Чрезмерного потоотделения;</w:t>
      </w:r>
    </w:p>
    <w:p w:rsidR="00D46410" w:rsidRPr="00D46410" w:rsidRDefault="00D46410" w:rsidP="00D46410">
      <w:pPr>
        <w:numPr>
          <w:ilvl w:val="0"/>
          <w:numId w:val="56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Резкого изменения цвета кожных покровов (бледности).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6MWT проводится в помещении, хорошо знакомом пациенту, имеющем достаточно длинный коридор с твердым покрытием. Длина проходимого пути должна составлять не менее 30 метров с разметкой каждые 3 метра, а также точками поворотов/разворотов.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Пациент получает инструкцию о необходимости идти с максимально возможной скоростью (но не бежать) в течение 6 минут.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 тесте оценивается дистанция в метрах, пройденная пациентом за 6 минут без вынужденных остановок.</w:t>
      </w:r>
    </w:p>
    <w:p w:rsidR="00D46410" w:rsidRPr="00D46410" w:rsidRDefault="00D46410" w:rsidP="00D46410">
      <w:pPr>
        <w:spacing w:before="750" w:after="4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t>Приложение Г9. Опросник качества жизни SF-36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Название на русском языке: Опросник качества жизни SF-36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Оригинальное название (если есть): "SF-36 Health Status Survey" 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Источник (официальный сайт разработчиков, публикация с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валидацией): Ware J.E., Snow K.K., Kosinski M., Gandek B. SF-36 Health Survey. Manual and interpretation guide //The Health Institute, New England Medical Center. Boston, Mass.-1993.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Тип (подчеркнуть):</w:t>
      </w:r>
    </w:p>
    <w:p w:rsidR="00D46410" w:rsidRPr="00D46410" w:rsidRDefault="00D46410" w:rsidP="00D46410">
      <w:pPr>
        <w:numPr>
          <w:ilvl w:val="0"/>
          <w:numId w:val="5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шкала оценки</w:t>
      </w:r>
    </w:p>
    <w:p w:rsidR="00D46410" w:rsidRPr="00D46410" w:rsidRDefault="00D46410" w:rsidP="00D46410">
      <w:pPr>
        <w:numPr>
          <w:ilvl w:val="0"/>
          <w:numId w:val="5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индекс</w:t>
      </w:r>
    </w:p>
    <w:p w:rsidR="00D46410" w:rsidRPr="00D46410" w:rsidRDefault="00D46410" w:rsidP="00D46410">
      <w:pPr>
        <w:numPr>
          <w:ilvl w:val="0"/>
          <w:numId w:val="5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u w:val="single"/>
          <w:lang w:eastAsia="ru-RU"/>
        </w:rPr>
        <w:t>вопросник</w:t>
      </w:r>
    </w:p>
    <w:p w:rsidR="00D46410" w:rsidRPr="00D46410" w:rsidRDefault="00D46410" w:rsidP="00D46410">
      <w:pPr>
        <w:numPr>
          <w:ilvl w:val="0"/>
          <w:numId w:val="57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другое (уточнить):                  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Назначение: SF-36 относится к неспецифическим опросникам для оценки качества жизни. Перевод на русский язык и апробация методики была проведена «Институтом клинико-фармакологических исследований». 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Содержание (шаблон): 36 пунктов опросника сгруппированы в восемь шкал: физическое функционирование, ролевая деятельность, телесная боль, общее здоровье, жизнеспособность, социальное функционирование, эмоциональное состояние и психическое здоровье. Показатели каждой шкалы варьируют между 0 и 100, где 100 представляет полное здоровье, все шкалы формируют два показателя: душевное и физическое благополучие.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Ключ (интерпретация): Результаты представляются в виде оценок в баллах по 8 шкалам, составленных таким образом, что более высокая оценка указывает на более высокий уровень КЖ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Опросник качества жизни SF-36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Данный опросник рассматривает Ваше отношение к Вашему здоровью на данный момент и в течение 4 последних недель. Мы хотели бы получить более полное представление о том, как Вы чувствуете себя, насколько хорошо Вы справляетесь с выполнением повседневных действий и что Вы думаете по поводу Вашего собственного здоровья.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данном опроснике под словом «здоровье» подразумевается Ваше состояние здоровья в целом. Таким образом, данный термин касается не только аспектов, непосредственно связанных с болезнью Помпе, но и Вашего общего самочувствия.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Ответьте, пожалуйста, на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все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вопросы, выбирая только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 одному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ответу на каждый вопрос. Пожалуйста, выбирайте ответы, наилучшим образом соответствующие 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Вашим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 собственным ощущениям. Если Вы не уверены, какой ответ Вам следует выбрать, пожалуйста, выберите наиболее </w:t>
      </w: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подходящий из возможных ответов. Например: для ответа на вопрос 3 Вы можете выбирать между «да, сильно ограничивает», «да, частично ограничивает» и «нет, совсем не ограничивает». Однако, Вы возможно совсем (больше) не можете выполнять некоторые действия. В подобных случаях Вам следует выбрать цифру в колонке «да, сильно ограничен».</w:t>
      </w:r>
    </w:p>
    <w:p w:rsidR="00D46410" w:rsidRPr="00D46410" w:rsidRDefault="00D46410" w:rsidP="00D46410">
      <w:pPr>
        <w:numPr>
          <w:ilvl w:val="0"/>
          <w:numId w:val="58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Вы могли бы оценить свое общее состояние здоровья как: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1 = превосходное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2 = очень хорошее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3 = хорошее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4 = удовлетворительное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5 = плохое</w:t>
      </w:r>
    </w:p>
    <w:p w:rsidR="00D46410" w:rsidRPr="00D46410" w:rsidRDefault="00D46410" w:rsidP="00D46410">
      <w:pPr>
        <w:numPr>
          <w:ilvl w:val="0"/>
          <w:numId w:val="59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По сравнению с Вашим общим состоянием здоровья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год назад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, как Вы оцениваете его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на данный момент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?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1 = на данный момент значительно лучше, чем год назад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2 = на данный момент в некоторой степени лучше (немного лучше), чем год назад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3 = практически такое же, как год назад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4 = на данный момент немного хуже, чем год назад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5 = на данный момент значительно хуже, чем год назад</w:t>
      </w:r>
    </w:p>
    <w:p w:rsidR="00D46410" w:rsidRPr="00D46410" w:rsidRDefault="00D46410" w:rsidP="00D46410">
      <w:pPr>
        <w:numPr>
          <w:ilvl w:val="0"/>
          <w:numId w:val="60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Вопросы ниже касаются выполнения Вами привычных повседневных действий. Ограничивает ли Вас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на данный момент Ваше здоровье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в выполнении указанных действий? Если да, то насколько сильно?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3281"/>
        <w:gridCol w:w="1280"/>
        <w:gridCol w:w="548"/>
        <w:gridCol w:w="1225"/>
        <w:gridCol w:w="637"/>
        <w:gridCol w:w="2299"/>
        <w:gridCol w:w="914"/>
      </w:tblGrid>
      <w:tr w:rsidR="00D46410" w:rsidRPr="00D46410" w:rsidTr="00D4641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Да, сильно ограничивает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Да, частично ограничивает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Нет, совсем не ограничивает</w:t>
            </w: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Действия, требующие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высоких затрат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энергии, такие как бег, подъем тяжелых предметов, занятия спортивными нагрузками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Действия, требующие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умеренных затрат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энергии, такие как передвижение стола, толкание пылесоса, игра в боулинг или гольф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Подъем или перенос пакетов с продуктами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Подъем вверх на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несколько 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этажей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Подъем вверх на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один 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этаж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lastRenderedPageBreak/>
              <w:t>Нагибания, опускание на колени или наклоны вниз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Прогулка пешком на расстояние больше 1,5 км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Прогулка пешком на расстояние 500 - 800 метров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Прогулка пешком на расстояние сто метров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  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      4.В течение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последних 4 недель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сталкивались ли Вы с какими-либо из следующих проблем в работе или повседневной деятельности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в связи с Вашим физическим здоровьем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?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4"/>
        <w:gridCol w:w="1543"/>
        <w:gridCol w:w="1543"/>
      </w:tblGrid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1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провели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меньше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времени 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за работой или другими делами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2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сделали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меньше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, чем хотели бы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3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не смогли выполнять работу или другие действия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определенного рода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4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столкнулись с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трудностями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при выполнении работы или других действий (например, Вам пришлось затрачивать дополнительные усилия)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</w:tbl>
    <w:p w:rsidR="00D46410" w:rsidRPr="00D46410" w:rsidRDefault="00D46410" w:rsidP="00D46410">
      <w:pPr>
        <w:numPr>
          <w:ilvl w:val="0"/>
          <w:numId w:val="65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течение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последних 4 недель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сталкивались ли Вы с какими-либо из следующих проблем в работе или повседневной деятельности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в связи с Вашим эмоциональным состоянием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(например, в связи с депрессией или тревогой)?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4"/>
        <w:gridCol w:w="1543"/>
        <w:gridCol w:w="1543"/>
      </w:tblGrid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6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провели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меньше времени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за работой или другими делами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7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сделали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меньше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, чем хотели бы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  <w:tr w:rsidR="00D46410" w:rsidRPr="00D46410" w:rsidTr="00D46410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68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не смогли выполнить работу или другие действия так же </w:t>
            </w:r>
            <w:r w:rsidRPr="00D46410">
              <w:rPr>
                <w:rFonts w:ascii="inherit" w:eastAsia="Times New Roman" w:hAnsi="inherit" w:cs="Times New Roman"/>
                <w:b/>
                <w:bCs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тщательно</w:t>
            </w: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, как обычно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Да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Нет</w:t>
            </w:r>
          </w:p>
        </w:tc>
      </w:tr>
    </w:tbl>
    <w:p w:rsidR="00D46410" w:rsidRPr="00D46410" w:rsidRDefault="00D46410" w:rsidP="00D46410">
      <w:pPr>
        <w:numPr>
          <w:ilvl w:val="0"/>
          <w:numId w:val="69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течение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последних 4 недель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в какой степени Ваше физическое здоровье или эмоциональное состояние затрудняло проведение Вами досуга с семьей, друзьями, соседями или другими группами?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1 = совсем нет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2 = незначительно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3 = умеренно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4 = значительно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 5 = в высшей степени</w:t>
      </w:r>
    </w:p>
    <w:p w:rsidR="00D46410" w:rsidRPr="00D46410" w:rsidRDefault="00D46410" w:rsidP="00D46410">
      <w:pPr>
        <w:numPr>
          <w:ilvl w:val="0"/>
          <w:numId w:val="70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Насколько интенсивную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физическую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боль Вы испытывали за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последние 4 недели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? (локализация боли не имеет значения)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1 = вообще не испытывал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2 = очень легкую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3 = легкую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4 = умеренную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5 = сильную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6 = очень сильную </w:t>
      </w:r>
    </w:p>
    <w:p w:rsidR="00D46410" w:rsidRPr="00D46410" w:rsidRDefault="00D46410" w:rsidP="00D46410">
      <w:pPr>
        <w:numPr>
          <w:ilvl w:val="0"/>
          <w:numId w:val="71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течение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последних 4 недель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в какой степени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боль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затрудняла выполнение Вами привычной работы (в том числе работы вне помещения и домашних дел)?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(локализация боли не имеет значения)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1 = совсем нет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2 = незначительно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3 = умеренно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4 = значительно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5 = в высшей степени</w:t>
      </w:r>
    </w:p>
    <w:p w:rsidR="00D46410" w:rsidRPr="00D46410" w:rsidRDefault="00D46410" w:rsidP="00D46410">
      <w:pPr>
        <w:numPr>
          <w:ilvl w:val="0"/>
          <w:numId w:val="7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Вопросы ниже касаются Вашего самочувствия и общего состояния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за последние 4 недели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. По каждому вопросу дайте один ответ, наилучшим образом отражающий Ваше самочувствие. Какую часть времени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за последние 4 недели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: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3"/>
        <w:gridCol w:w="936"/>
        <w:gridCol w:w="1280"/>
        <w:gridCol w:w="936"/>
        <w:gridCol w:w="936"/>
        <w:gridCol w:w="936"/>
        <w:gridCol w:w="1013"/>
      </w:tblGrid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Всегда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Почти всегда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Часто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Иногда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Редко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Никогда</w:t>
            </w: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3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чувствовали себя полным жизни?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4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нервничали?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5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находились в таком унынии, что ничто не могло поднять Вам настроение?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6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чувствовали мир и покой?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7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были полны энергии?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8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чувствовали себя упавшим духом и подавленным?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79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lastRenderedPageBreak/>
              <w:t>Вы чувствовали себя измотанным?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80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чувствовали себя счастливым человеком?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81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Вы чувствовали себя уставшим?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D46410" w:rsidRPr="00D46410" w:rsidRDefault="00D46410" w:rsidP="00D46410">
      <w:pPr>
        <w:numPr>
          <w:ilvl w:val="0"/>
          <w:numId w:val="82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 течение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последних 4 недель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какую часть времени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Ваше физическое здоровье или эмоциональное состояние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затрудняло проведение Вами досуга (например, посещение друзей, родственников и т.д.)?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1 = всегда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2 = часто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3 = иногда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4 = редко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5 = никогда</w:t>
      </w:r>
    </w:p>
    <w:p w:rsidR="00D46410" w:rsidRPr="00D46410" w:rsidRDefault="00D46410" w:rsidP="00D46410">
      <w:pPr>
        <w:numPr>
          <w:ilvl w:val="0"/>
          <w:numId w:val="83"/>
        </w:numPr>
        <w:spacing w:after="0" w:line="390" w:lineRule="atLeast"/>
        <w:ind w:left="300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Насколько ВЕРНЫМ или НЕВЕРНЫМ является для Вас 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каждое</w:t>
      </w:r>
      <w:r w:rsidRPr="00D46410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из утверждений ниже?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2015"/>
        <w:gridCol w:w="1425"/>
        <w:gridCol w:w="1425"/>
        <w:gridCol w:w="1425"/>
        <w:gridCol w:w="2154"/>
      </w:tblGrid>
      <w:tr w:rsidR="00D46410" w:rsidRPr="00D46410" w:rsidTr="00D4641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Абсолютно верно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Скорее верно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Не знаю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Скорее неверно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Абсолютно неверно</w:t>
            </w:r>
          </w:p>
        </w:tc>
      </w:tr>
      <w:tr w:rsidR="00D46410" w:rsidRPr="00D46410" w:rsidTr="00D4641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84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Кажется, что я более склонен к заболеваниям, чем другие люди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85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Я так же здоров, как другие знакомые мне люди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86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Я ожидаю ухудшения своего здоровья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D46410" w:rsidRPr="00D46410" w:rsidTr="00D4641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numPr>
                <w:ilvl w:val="0"/>
                <w:numId w:val="87"/>
              </w:numPr>
              <w:spacing w:after="0" w:line="390" w:lineRule="atLeast"/>
              <w:ind w:left="300"/>
              <w:jc w:val="both"/>
              <w:textAlignment w:val="baseline"/>
              <w:rPr>
                <w:rFonts w:ascii="inherit" w:eastAsia="Times New Roman" w:hAnsi="inherit" w:cs="Times New Roman"/>
                <w:sz w:val="17"/>
                <w:szCs w:val="1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i/>
                <w:iCs/>
                <w:color w:val="333333"/>
                <w:sz w:val="17"/>
                <w:szCs w:val="17"/>
                <w:bdr w:val="none" w:sz="0" w:space="0" w:color="auto" w:frame="1"/>
                <w:lang w:eastAsia="ru-RU"/>
              </w:rPr>
              <w:t>Мое здоровье в превосходном состоянии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 Данный опросник  разрешен для использования группой IQOLA (Международный проект оценки качества жизни).</w:t>
      </w:r>
    </w:p>
    <w:p w:rsidR="00D46410" w:rsidRPr="00D46410" w:rsidRDefault="00D46410" w:rsidP="00D46410">
      <w:pPr>
        <w:spacing w:before="750" w:after="45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33"/>
          <w:szCs w:val="33"/>
          <w:lang w:eastAsia="ru-RU"/>
        </w:rPr>
        <w:lastRenderedPageBreak/>
        <w:t>Приложение Г10. Забор биоматериала для диагностики в пятнах крови</w:t>
      </w:r>
    </w:p>
    <w:tbl>
      <w:tblPr>
        <w:tblW w:w="10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3"/>
        <w:gridCol w:w="6857"/>
      </w:tblGrid>
      <w:tr w:rsidR="00D46410" w:rsidRPr="00D46410" w:rsidTr="00D46410"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Кровь собирается на стандартную карточку-фильтр (№903), которая применяется для скрининга новорожденных в Российской Федерации или аналогичную для получения сухого пятна крови. Кровь может быть, как капиллярная (из пальца, пятки), так и венозная. Венозная кровь собирается в пробирку, аккуратно перемешивается и затем быстро с помощью пипетки наносится на фильтр по 25-50 мкл крови на каждую выделенную область. Необходимо хорошо пропитать выделенную область на фильтре (рис. 1). Предпочтительно собирать образцы после еды через 40 минут - 1 час. Возможно также осуществить забор крови и натощак.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На карточке-фильтре обязательно должны быть четко указаны ФИО, кем и откуда направлен пациент, дата рождения и телефон лечащего врача (рисунок 2).</w:t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 xml:space="preserve">Образец сухого пятна крови вкладывается в чистый конверт, либо в чистый файл. Карточка-фильтр не должна соприкасаться с грязной поверхностью и с образцами других пациентов. Необходимо приложить к образцам </w:t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lastRenderedPageBreak/>
              <w:t>информированные согласия пациента или его законных представителей на проведение лабораторных исследований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noProof/>
              </w:rPr>
              <w:lastRenderedPageBreak/>
              <w:drawing>
                <wp:inline distT="0" distB="0" distL="0" distR="0">
                  <wp:extent cx="2583815" cy="1701165"/>
                  <wp:effectExtent l="0" t="0" r="6985" b="0"/>
                  <wp:docPr id="2" name="Picture 2" descr="C:\Users\I0445923\AppData\Local\Microsoft\Windows\INetCache\Content.MSO\8CDEF9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I0445923\AppData\Local\Microsoft\Windows\INetCache\Content.MSO\8CDEF9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410" w:rsidRPr="00D46410" w:rsidRDefault="00D46410" w:rsidP="00D46410">
            <w:pPr>
              <w:spacing w:after="0" w:line="240" w:lineRule="atLeast"/>
              <w:jc w:val="both"/>
              <w:textAlignment w:val="baseline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Рисунок 1. Образец правильного нанесения крови на карточку-фильтр </w:t>
            </w:r>
            <w:r w:rsidRPr="00D46410">
              <w:rPr>
                <w:noProof/>
              </w:rPr>
              <w:drawing>
                <wp:inline distT="0" distB="0" distL="0" distR="0">
                  <wp:extent cx="2849245" cy="3891280"/>
                  <wp:effectExtent l="0" t="0" r="8255" b="0"/>
                  <wp:docPr id="1" name="Picture 1" descr="C:\Users\I0445923\AppData\Local\Microsoft\Windows\INetCache\Content.MSO\6366D4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I0445923\AppData\Local\Microsoft\Windows\INetCache\Content.MSO\6366D4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389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410"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  <w:t> Рисунок 2. Образец карточки-фильтра</w:t>
            </w:r>
          </w:p>
        </w:tc>
      </w:tr>
    </w:tbl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 Алгоритм действий медицинского персонала при взятии образцов крови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вымыть руки (гигиенический уровень), надеть перчатки;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вымыть руки пациента (пятку ребенка, в случае, если кровь берется из пятки);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протереть область прокалывания стерильной салфеткой, смоченной 70% спиртом, промокнуть сухой стерильной салфеткой; - проколоть стерильным одноразовым скарификатором;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снять первую каплю крови стерильным сухим тампоном;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мягко надавить для получения второй капли крови;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приложить перпендикулярно тест-бланк к капле крови и пропитать его кровью насквозь;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аналогичным образом нанести на тест-бланк 6-8 капель, вид пятен крови должен быть одинаковым с обеих сторон.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высушить тест-бланк в горизонтальном положении на чистой обезжиренной поверхности не менее 4 ч без применения тепловой обработки и попадания прямых солнечных лучей;</w:t>
      </w:r>
    </w:p>
    <w:p w:rsidR="00D46410" w:rsidRPr="00D46410" w:rsidRDefault="00D46410" w:rsidP="00D46410">
      <w:pPr>
        <w:numPr>
          <w:ilvl w:val="0"/>
          <w:numId w:val="88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упаковать тест-бланки в чистый конверт таким образом, чтобы пятна крови не соприкасались.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Особенности при инфузионной терапии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Некоторые пациенты могут получать инфузионную терапию, переливание компонентов крови, что может оказать влияние на результаты тестов. Например, при переливании плазмы крови могут быть получены ложно-отрицательные результаты, так как определяемые ферменты находятся в плазме и в клетках крови. Рекомендуется осуществить забор крови для ферментной и ДНК-диагностики не 9 ранее чем через 6-7 дней после переливания плазмы крови и через 7-10 дней после переливания компонентов крови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Не допускается забор крови</w:t>
      </w:r>
    </w:p>
    <w:p w:rsidR="00D46410" w:rsidRPr="00D46410" w:rsidRDefault="00D46410" w:rsidP="00D46410">
      <w:pPr>
        <w:numPr>
          <w:ilvl w:val="0"/>
          <w:numId w:val="89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сразу после проведения пациенту инфузионной терапии;</w:t>
      </w:r>
    </w:p>
    <w:p w:rsidR="00D46410" w:rsidRPr="00D46410" w:rsidRDefault="00D46410" w:rsidP="00D46410">
      <w:pPr>
        <w:numPr>
          <w:ilvl w:val="0"/>
          <w:numId w:val="89"/>
        </w:numPr>
        <w:spacing w:after="0" w:line="390" w:lineRule="atLeast"/>
        <w:ind w:left="31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сразу после заменного переливания крови.</w:t>
      </w:r>
    </w:p>
    <w:p w:rsidR="00D46410" w:rsidRPr="00D46410" w:rsidRDefault="00D46410" w:rsidP="00D46410">
      <w:pPr>
        <w:spacing w:after="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Хранение и транспортировка биоматериала</w:t>
      </w:r>
    </w:p>
    <w:p w:rsidR="00D46410" w:rsidRPr="00D46410" w:rsidRDefault="00D46410" w:rsidP="00D46410">
      <w:pPr>
        <w:spacing w:after="240" w:line="390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D46410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Образцы высушенных пятен крови можно хранить в обычной камере холодильника при +40С до отправки. Срок хранения до момента отправки не должен превышать 7 дней. Если хранить дольше и при более высокой температуре, то активность фермента даже в норме может снижаться, что приведет к ложно-положительным результатам.</w:t>
      </w:r>
    </w:p>
    <w:p w:rsidR="00904E5F" w:rsidRDefault="00904E5F"/>
    <w:sectPr w:rsidR="00904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4403A"/>
    <w:multiLevelType w:val="multilevel"/>
    <w:tmpl w:val="859E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575FC"/>
    <w:multiLevelType w:val="multilevel"/>
    <w:tmpl w:val="4F82BE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1255C"/>
    <w:multiLevelType w:val="multilevel"/>
    <w:tmpl w:val="04AEFE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F7FEA"/>
    <w:multiLevelType w:val="multilevel"/>
    <w:tmpl w:val="04C6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BF260B"/>
    <w:multiLevelType w:val="multilevel"/>
    <w:tmpl w:val="3F1C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C13C1"/>
    <w:multiLevelType w:val="multilevel"/>
    <w:tmpl w:val="30BCE7D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5F5AB1"/>
    <w:multiLevelType w:val="multilevel"/>
    <w:tmpl w:val="F6D8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1A5D98"/>
    <w:multiLevelType w:val="multilevel"/>
    <w:tmpl w:val="9638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F507CC"/>
    <w:multiLevelType w:val="multilevel"/>
    <w:tmpl w:val="7A04914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AD0E79"/>
    <w:multiLevelType w:val="multilevel"/>
    <w:tmpl w:val="E97E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D804F1"/>
    <w:multiLevelType w:val="multilevel"/>
    <w:tmpl w:val="7506021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8F7943"/>
    <w:multiLevelType w:val="multilevel"/>
    <w:tmpl w:val="90FC99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3E7CF0"/>
    <w:multiLevelType w:val="multilevel"/>
    <w:tmpl w:val="BAC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373400"/>
    <w:multiLevelType w:val="multilevel"/>
    <w:tmpl w:val="27EE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787824"/>
    <w:multiLevelType w:val="multilevel"/>
    <w:tmpl w:val="B9D83E2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336705"/>
    <w:multiLevelType w:val="multilevel"/>
    <w:tmpl w:val="E444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804E62"/>
    <w:multiLevelType w:val="multilevel"/>
    <w:tmpl w:val="A6C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BE32B1"/>
    <w:multiLevelType w:val="multilevel"/>
    <w:tmpl w:val="010C6B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52570F"/>
    <w:multiLevelType w:val="multilevel"/>
    <w:tmpl w:val="565C76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BAF35ED"/>
    <w:multiLevelType w:val="multilevel"/>
    <w:tmpl w:val="19D4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D07145"/>
    <w:multiLevelType w:val="multilevel"/>
    <w:tmpl w:val="659A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7A592B"/>
    <w:multiLevelType w:val="multilevel"/>
    <w:tmpl w:val="3F24B0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070EA8"/>
    <w:multiLevelType w:val="multilevel"/>
    <w:tmpl w:val="DA86CCA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5032C1"/>
    <w:multiLevelType w:val="multilevel"/>
    <w:tmpl w:val="8208138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CB27F3"/>
    <w:multiLevelType w:val="multilevel"/>
    <w:tmpl w:val="C1F0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35D70B0"/>
    <w:multiLevelType w:val="multilevel"/>
    <w:tmpl w:val="C6F8D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ED7C1D"/>
    <w:multiLevelType w:val="multilevel"/>
    <w:tmpl w:val="5AF840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2A0697"/>
    <w:multiLevelType w:val="multilevel"/>
    <w:tmpl w:val="181A10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4A170AE"/>
    <w:multiLevelType w:val="multilevel"/>
    <w:tmpl w:val="0332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2626AF"/>
    <w:multiLevelType w:val="multilevel"/>
    <w:tmpl w:val="8FD6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A40B55"/>
    <w:multiLevelType w:val="multilevel"/>
    <w:tmpl w:val="C5F8489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6E85221"/>
    <w:multiLevelType w:val="multilevel"/>
    <w:tmpl w:val="20AE1B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7B32DF1"/>
    <w:multiLevelType w:val="multilevel"/>
    <w:tmpl w:val="854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A4332F"/>
    <w:multiLevelType w:val="multilevel"/>
    <w:tmpl w:val="AD04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A373ECC"/>
    <w:multiLevelType w:val="multilevel"/>
    <w:tmpl w:val="ACBC30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A571919"/>
    <w:multiLevelType w:val="multilevel"/>
    <w:tmpl w:val="16D0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1C6414"/>
    <w:multiLevelType w:val="multilevel"/>
    <w:tmpl w:val="428EA4B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46E12C2"/>
    <w:multiLevelType w:val="multilevel"/>
    <w:tmpl w:val="7D4AF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F306A9"/>
    <w:multiLevelType w:val="multilevel"/>
    <w:tmpl w:val="4FC82C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8031B8"/>
    <w:multiLevelType w:val="multilevel"/>
    <w:tmpl w:val="1E34358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9D54F8"/>
    <w:multiLevelType w:val="multilevel"/>
    <w:tmpl w:val="EAA69B2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BD342B3"/>
    <w:multiLevelType w:val="multilevel"/>
    <w:tmpl w:val="21680ECA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D8555F1"/>
    <w:multiLevelType w:val="multilevel"/>
    <w:tmpl w:val="84AC6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2B27BD2"/>
    <w:multiLevelType w:val="multilevel"/>
    <w:tmpl w:val="D888994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F247D7"/>
    <w:multiLevelType w:val="multilevel"/>
    <w:tmpl w:val="8B62BBE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6271A56"/>
    <w:multiLevelType w:val="multilevel"/>
    <w:tmpl w:val="2A9CF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63822B3"/>
    <w:multiLevelType w:val="multilevel"/>
    <w:tmpl w:val="C83A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7C23156"/>
    <w:multiLevelType w:val="multilevel"/>
    <w:tmpl w:val="F140DAB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7EC7148"/>
    <w:multiLevelType w:val="multilevel"/>
    <w:tmpl w:val="41D638C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87865EC"/>
    <w:multiLevelType w:val="multilevel"/>
    <w:tmpl w:val="BF78023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9C43A53"/>
    <w:multiLevelType w:val="multilevel"/>
    <w:tmpl w:val="8FAC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B460F68"/>
    <w:multiLevelType w:val="multilevel"/>
    <w:tmpl w:val="9856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EDD3652"/>
    <w:multiLevelType w:val="multilevel"/>
    <w:tmpl w:val="7214D8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09B1303"/>
    <w:multiLevelType w:val="multilevel"/>
    <w:tmpl w:val="F89C01E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1346EAE"/>
    <w:multiLevelType w:val="multilevel"/>
    <w:tmpl w:val="C55271C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1F747C9"/>
    <w:multiLevelType w:val="multilevel"/>
    <w:tmpl w:val="4736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30E0372"/>
    <w:multiLevelType w:val="multilevel"/>
    <w:tmpl w:val="B0F0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3A22591"/>
    <w:multiLevelType w:val="multilevel"/>
    <w:tmpl w:val="E96A05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3D309E6"/>
    <w:multiLevelType w:val="multilevel"/>
    <w:tmpl w:val="E732F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5F85D70"/>
    <w:multiLevelType w:val="multilevel"/>
    <w:tmpl w:val="B1EC269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78D0028"/>
    <w:multiLevelType w:val="multilevel"/>
    <w:tmpl w:val="6F1AC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7CF79D0"/>
    <w:multiLevelType w:val="multilevel"/>
    <w:tmpl w:val="FB96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86866EB"/>
    <w:multiLevelType w:val="multilevel"/>
    <w:tmpl w:val="0B66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9130345"/>
    <w:multiLevelType w:val="multilevel"/>
    <w:tmpl w:val="294C98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994451A"/>
    <w:multiLevelType w:val="multilevel"/>
    <w:tmpl w:val="8724FE6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A890F84"/>
    <w:multiLevelType w:val="multilevel"/>
    <w:tmpl w:val="E0301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B6B5AB7"/>
    <w:multiLevelType w:val="multilevel"/>
    <w:tmpl w:val="DD4076FE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C0338E1"/>
    <w:multiLevelType w:val="multilevel"/>
    <w:tmpl w:val="7B88AA1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0CC35CF"/>
    <w:multiLevelType w:val="multilevel"/>
    <w:tmpl w:val="2978571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F54B0A"/>
    <w:multiLevelType w:val="multilevel"/>
    <w:tmpl w:val="EB0C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5B87F54"/>
    <w:multiLevelType w:val="multilevel"/>
    <w:tmpl w:val="0F10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649468D"/>
    <w:multiLevelType w:val="multilevel"/>
    <w:tmpl w:val="C582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67F53C7"/>
    <w:multiLevelType w:val="multilevel"/>
    <w:tmpl w:val="92B0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8A66D29"/>
    <w:multiLevelType w:val="multilevel"/>
    <w:tmpl w:val="26AE3E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99F3601"/>
    <w:multiLevelType w:val="multilevel"/>
    <w:tmpl w:val="E7EE4C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BDC3255"/>
    <w:multiLevelType w:val="multilevel"/>
    <w:tmpl w:val="35A6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D9F31EB"/>
    <w:multiLevelType w:val="multilevel"/>
    <w:tmpl w:val="9104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DC2720A"/>
    <w:multiLevelType w:val="multilevel"/>
    <w:tmpl w:val="682489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3F13BC5"/>
    <w:multiLevelType w:val="multilevel"/>
    <w:tmpl w:val="4D80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7275AB4"/>
    <w:multiLevelType w:val="multilevel"/>
    <w:tmpl w:val="019C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57616C"/>
    <w:multiLevelType w:val="multilevel"/>
    <w:tmpl w:val="51162C6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925479D"/>
    <w:multiLevelType w:val="multilevel"/>
    <w:tmpl w:val="2F5C65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961536E"/>
    <w:multiLevelType w:val="multilevel"/>
    <w:tmpl w:val="C712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9DA0284"/>
    <w:multiLevelType w:val="multilevel"/>
    <w:tmpl w:val="7B560A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A316CEE"/>
    <w:multiLevelType w:val="multilevel"/>
    <w:tmpl w:val="8DC8A39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B1473C9"/>
    <w:multiLevelType w:val="multilevel"/>
    <w:tmpl w:val="7A6E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E2D4BFD"/>
    <w:multiLevelType w:val="multilevel"/>
    <w:tmpl w:val="C27A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EA84510"/>
    <w:multiLevelType w:val="multilevel"/>
    <w:tmpl w:val="94A0591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FCE446D"/>
    <w:multiLevelType w:val="multilevel"/>
    <w:tmpl w:val="BD92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5"/>
  </w:num>
  <w:num w:numId="2">
    <w:abstractNumId w:val="72"/>
  </w:num>
  <w:num w:numId="3">
    <w:abstractNumId w:val="7"/>
  </w:num>
  <w:num w:numId="4">
    <w:abstractNumId w:val="85"/>
  </w:num>
  <w:num w:numId="5">
    <w:abstractNumId w:val="24"/>
  </w:num>
  <w:num w:numId="6">
    <w:abstractNumId w:val="16"/>
  </w:num>
  <w:num w:numId="7">
    <w:abstractNumId w:val="28"/>
  </w:num>
  <w:num w:numId="8">
    <w:abstractNumId w:val="62"/>
  </w:num>
  <w:num w:numId="9">
    <w:abstractNumId w:val="75"/>
  </w:num>
  <w:num w:numId="10">
    <w:abstractNumId w:val="82"/>
  </w:num>
  <w:num w:numId="11">
    <w:abstractNumId w:val="51"/>
  </w:num>
  <w:num w:numId="12">
    <w:abstractNumId w:val="33"/>
  </w:num>
  <w:num w:numId="13">
    <w:abstractNumId w:val="50"/>
  </w:num>
  <w:num w:numId="14">
    <w:abstractNumId w:val="42"/>
  </w:num>
  <w:num w:numId="15">
    <w:abstractNumId w:val="3"/>
  </w:num>
  <w:num w:numId="16">
    <w:abstractNumId w:val="78"/>
  </w:num>
  <w:num w:numId="17">
    <w:abstractNumId w:val="19"/>
  </w:num>
  <w:num w:numId="18">
    <w:abstractNumId w:val="70"/>
  </w:num>
  <w:num w:numId="19">
    <w:abstractNumId w:val="25"/>
  </w:num>
  <w:num w:numId="20">
    <w:abstractNumId w:val="86"/>
  </w:num>
  <w:num w:numId="21">
    <w:abstractNumId w:val="56"/>
  </w:num>
  <w:num w:numId="22">
    <w:abstractNumId w:val="69"/>
  </w:num>
  <w:num w:numId="23">
    <w:abstractNumId w:val="29"/>
  </w:num>
  <w:num w:numId="24">
    <w:abstractNumId w:val="0"/>
  </w:num>
  <w:num w:numId="25">
    <w:abstractNumId w:val="88"/>
  </w:num>
  <w:num w:numId="26">
    <w:abstractNumId w:val="71"/>
  </w:num>
  <w:num w:numId="27">
    <w:abstractNumId w:val="6"/>
  </w:num>
  <w:num w:numId="28">
    <w:abstractNumId w:val="46"/>
  </w:num>
  <w:num w:numId="29">
    <w:abstractNumId w:val="9"/>
  </w:num>
  <w:num w:numId="30">
    <w:abstractNumId w:val="61"/>
  </w:num>
  <w:num w:numId="31">
    <w:abstractNumId w:val="20"/>
  </w:num>
  <w:num w:numId="32">
    <w:abstractNumId w:val="32"/>
  </w:num>
  <w:num w:numId="33">
    <w:abstractNumId w:val="4"/>
  </w:num>
  <w:num w:numId="34">
    <w:abstractNumId w:val="79"/>
  </w:num>
  <w:num w:numId="35">
    <w:abstractNumId w:val="13"/>
  </w:num>
  <w:num w:numId="36">
    <w:abstractNumId w:val="15"/>
  </w:num>
  <w:num w:numId="37">
    <w:abstractNumId w:val="83"/>
  </w:num>
  <w:num w:numId="38">
    <w:abstractNumId w:val="22"/>
  </w:num>
  <w:num w:numId="39">
    <w:abstractNumId w:val="38"/>
  </w:num>
  <w:num w:numId="40">
    <w:abstractNumId w:val="77"/>
  </w:num>
  <w:num w:numId="41">
    <w:abstractNumId w:val="14"/>
  </w:num>
  <w:num w:numId="42">
    <w:abstractNumId w:val="21"/>
  </w:num>
  <w:num w:numId="43">
    <w:abstractNumId w:val="47"/>
  </w:num>
  <w:num w:numId="44">
    <w:abstractNumId w:val="36"/>
  </w:num>
  <w:num w:numId="45">
    <w:abstractNumId w:val="53"/>
  </w:num>
  <w:num w:numId="46">
    <w:abstractNumId w:val="23"/>
  </w:num>
  <w:num w:numId="47">
    <w:abstractNumId w:val="54"/>
  </w:num>
  <w:num w:numId="48">
    <w:abstractNumId w:val="48"/>
  </w:num>
  <w:num w:numId="49">
    <w:abstractNumId w:val="59"/>
  </w:num>
  <w:num w:numId="50">
    <w:abstractNumId w:val="43"/>
  </w:num>
  <w:num w:numId="51">
    <w:abstractNumId w:val="49"/>
  </w:num>
  <w:num w:numId="52">
    <w:abstractNumId w:val="60"/>
  </w:num>
  <w:num w:numId="53">
    <w:abstractNumId w:val="76"/>
  </w:num>
  <w:num w:numId="54">
    <w:abstractNumId w:val="11"/>
  </w:num>
  <w:num w:numId="55">
    <w:abstractNumId w:val="37"/>
  </w:num>
  <w:num w:numId="56">
    <w:abstractNumId w:val="58"/>
  </w:num>
  <w:num w:numId="57">
    <w:abstractNumId w:val="12"/>
  </w:num>
  <w:num w:numId="58">
    <w:abstractNumId w:val="65"/>
  </w:num>
  <w:num w:numId="59">
    <w:abstractNumId w:val="63"/>
  </w:num>
  <w:num w:numId="60">
    <w:abstractNumId w:val="17"/>
  </w:num>
  <w:num w:numId="61">
    <w:abstractNumId w:val="2"/>
  </w:num>
  <w:num w:numId="62">
    <w:abstractNumId w:val="68"/>
  </w:num>
  <w:num w:numId="63">
    <w:abstractNumId w:val="80"/>
  </w:num>
  <w:num w:numId="64">
    <w:abstractNumId w:val="87"/>
  </w:num>
  <w:num w:numId="65">
    <w:abstractNumId w:val="1"/>
  </w:num>
  <w:num w:numId="66">
    <w:abstractNumId w:val="34"/>
  </w:num>
  <w:num w:numId="67">
    <w:abstractNumId w:val="67"/>
  </w:num>
  <w:num w:numId="68">
    <w:abstractNumId w:val="10"/>
  </w:num>
  <w:num w:numId="69">
    <w:abstractNumId w:val="52"/>
  </w:num>
  <w:num w:numId="70">
    <w:abstractNumId w:val="31"/>
  </w:num>
  <w:num w:numId="71">
    <w:abstractNumId w:val="26"/>
  </w:num>
  <w:num w:numId="72">
    <w:abstractNumId w:val="27"/>
  </w:num>
  <w:num w:numId="73">
    <w:abstractNumId w:val="57"/>
  </w:num>
  <w:num w:numId="74">
    <w:abstractNumId w:val="30"/>
  </w:num>
  <w:num w:numId="75">
    <w:abstractNumId w:val="40"/>
  </w:num>
  <w:num w:numId="76">
    <w:abstractNumId w:val="5"/>
  </w:num>
  <w:num w:numId="77">
    <w:abstractNumId w:val="8"/>
  </w:num>
  <w:num w:numId="78">
    <w:abstractNumId w:val="84"/>
  </w:num>
  <w:num w:numId="79">
    <w:abstractNumId w:val="66"/>
  </w:num>
  <w:num w:numId="80">
    <w:abstractNumId w:val="41"/>
  </w:num>
  <w:num w:numId="81">
    <w:abstractNumId w:val="64"/>
  </w:num>
  <w:num w:numId="82">
    <w:abstractNumId w:val="18"/>
  </w:num>
  <w:num w:numId="83">
    <w:abstractNumId w:val="74"/>
  </w:num>
  <w:num w:numId="84">
    <w:abstractNumId w:val="73"/>
  </w:num>
  <w:num w:numId="85">
    <w:abstractNumId w:val="81"/>
  </w:num>
  <w:num w:numId="86">
    <w:abstractNumId w:val="44"/>
  </w:num>
  <w:num w:numId="87">
    <w:abstractNumId w:val="39"/>
  </w:num>
  <w:num w:numId="88">
    <w:abstractNumId w:val="35"/>
  </w:num>
  <w:num w:numId="89">
    <w:abstractNumId w:val="4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410"/>
    <w:rsid w:val="00904E5F"/>
    <w:rsid w:val="00D46410"/>
    <w:rsid w:val="00FE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2AAF"/>
  <w15:chartTrackingRefBased/>
  <w15:docId w15:val="{EFC2A10C-9097-4731-BF75-919A3ACD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64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D464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4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D464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Normal"/>
    <w:rsid w:val="00D4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">
    <w:name w:val="gray"/>
    <w:basedOn w:val="DefaultParagraphFont"/>
    <w:rsid w:val="00D46410"/>
  </w:style>
  <w:style w:type="paragraph" w:customStyle="1" w:styleId="ng-binding">
    <w:name w:val="ng-binding"/>
    <w:basedOn w:val="Normal"/>
    <w:rsid w:val="00D4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cope">
    <w:name w:val="ng-scope"/>
    <w:basedOn w:val="DefaultParagraphFont"/>
    <w:rsid w:val="00D46410"/>
  </w:style>
  <w:style w:type="paragraph" w:customStyle="1" w:styleId="ng-scope1">
    <w:name w:val="ng-scope1"/>
    <w:basedOn w:val="Normal"/>
    <w:rsid w:val="00D4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D4641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6410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4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D46410"/>
    <w:rPr>
      <w:i/>
      <w:iCs/>
    </w:rPr>
  </w:style>
  <w:style w:type="paragraph" w:customStyle="1" w:styleId="marginl">
    <w:name w:val="marginl"/>
    <w:basedOn w:val="Normal"/>
    <w:rsid w:val="00D4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D464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8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684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36" w:space="0" w:color="D3D3E8"/>
            <w:right w:val="none" w:sz="0" w:space="0" w:color="auto"/>
          </w:divBdr>
          <w:divsChild>
            <w:div w:id="4174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2109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95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934169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27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35265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93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6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7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4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8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57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5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46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1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4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1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7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75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9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40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40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6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50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0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93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1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7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1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6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5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19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87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2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23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12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1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13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74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08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62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99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7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73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42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06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gmd.cf.ac.uk/" TargetMode="External"/><Relationship Id="rId117" Type="http://schemas.openxmlformats.org/officeDocument/2006/relationships/image" Target="media/image60.png"/><Relationship Id="rId21" Type="http://schemas.openxmlformats.org/officeDocument/2006/relationships/hyperlink" Target="javascript:void(0)" TargetMode="External"/><Relationship Id="rId42" Type="http://schemas.openxmlformats.org/officeDocument/2006/relationships/hyperlink" Target="http://www.ncbi.nlm.nih.gov/pubmed/22133539" TargetMode="External"/><Relationship Id="rId47" Type="http://schemas.openxmlformats.org/officeDocument/2006/relationships/hyperlink" Target="http://www.ncbi.nlm.nih.gov/pubmed/22133539" TargetMode="External"/><Relationship Id="rId63" Type="http://schemas.openxmlformats.org/officeDocument/2006/relationships/image" Target="media/image6.png"/><Relationship Id="rId68" Type="http://schemas.openxmlformats.org/officeDocument/2006/relationships/image" Target="media/image11.png"/><Relationship Id="rId84" Type="http://schemas.openxmlformats.org/officeDocument/2006/relationships/image" Target="media/image27.png"/><Relationship Id="rId89" Type="http://schemas.openxmlformats.org/officeDocument/2006/relationships/image" Target="media/image32.png"/><Relationship Id="rId112" Type="http://schemas.openxmlformats.org/officeDocument/2006/relationships/image" Target="media/image55.png"/><Relationship Id="rId16" Type="http://schemas.openxmlformats.org/officeDocument/2006/relationships/hyperlink" Target="javascript:void(0)" TargetMode="External"/><Relationship Id="rId107" Type="http://schemas.openxmlformats.org/officeDocument/2006/relationships/image" Target="media/image50.png"/><Relationship Id="rId11" Type="http://schemas.openxmlformats.org/officeDocument/2006/relationships/hyperlink" Target="javascript:void(0)" TargetMode="External"/><Relationship Id="rId32" Type="http://schemas.openxmlformats.org/officeDocument/2006/relationships/hyperlink" Target="http://www.ncbi.nlm.nih.gov/pubmed/22133539" TargetMode="External"/><Relationship Id="rId37" Type="http://schemas.openxmlformats.org/officeDocument/2006/relationships/hyperlink" Target="http://www.ncbi.nlm.nih.gov/pubmed/22133539" TargetMode="External"/><Relationship Id="rId53" Type="http://schemas.openxmlformats.org/officeDocument/2006/relationships/hyperlink" Target="http://www.ncbi.nlm.nih.gov/pubmed/22133539" TargetMode="External"/><Relationship Id="rId58" Type="http://schemas.openxmlformats.org/officeDocument/2006/relationships/hyperlink" Target="http://www.ncbi.nlm.nih.gov/pubmed/22133539" TargetMode="External"/><Relationship Id="rId74" Type="http://schemas.openxmlformats.org/officeDocument/2006/relationships/image" Target="media/image17.png"/><Relationship Id="rId79" Type="http://schemas.openxmlformats.org/officeDocument/2006/relationships/image" Target="media/image22.png"/><Relationship Id="rId102" Type="http://schemas.openxmlformats.org/officeDocument/2006/relationships/image" Target="media/image45.png"/><Relationship Id="rId5" Type="http://schemas.openxmlformats.org/officeDocument/2006/relationships/image" Target="media/image1.png"/><Relationship Id="rId90" Type="http://schemas.openxmlformats.org/officeDocument/2006/relationships/image" Target="media/image33.png"/><Relationship Id="rId95" Type="http://schemas.openxmlformats.org/officeDocument/2006/relationships/image" Target="media/image38.png"/><Relationship Id="rId22" Type="http://schemas.openxmlformats.org/officeDocument/2006/relationships/hyperlink" Target="javascript:void(0)" TargetMode="External"/><Relationship Id="rId27" Type="http://schemas.openxmlformats.org/officeDocument/2006/relationships/hyperlink" Target="http://www.hgmd.cf.ac.uk/" TargetMode="External"/><Relationship Id="rId43" Type="http://schemas.openxmlformats.org/officeDocument/2006/relationships/hyperlink" Target="http://www.ncbi.nlm.nih.gov/pubmed/22133539" TargetMode="External"/><Relationship Id="rId48" Type="http://schemas.openxmlformats.org/officeDocument/2006/relationships/hyperlink" Target="http://www.ncbi.nlm.nih.gov/pubmed/22133539" TargetMode="External"/><Relationship Id="rId64" Type="http://schemas.openxmlformats.org/officeDocument/2006/relationships/image" Target="media/image7.png"/><Relationship Id="rId69" Type="http://schemas.openxmlformats.org/officeDocument/2006/relationships/image" Target="media/image12.png"/><Relationship Id="rId113" Type="http://schemas.openxmlformats.org/officeDocument/2006/relationships/image" Target="media/image56.png"/><Relationship Id="rId118" Type="http://schemas.openxmlformats.org/officeDocument/2006/relationships/image" Target="media/image61.png"/><Relationship Id="rId80" Type="http://schemas.openxmlformats.org/officeDocument/2006/relationships/image" Target="media/image23.png"/><Relationship Id="rId85" Type="http://schemas.openxmlformats.org/officeDocument/2006/relationships/image" Target="media/image28.png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33" Type="http://schemas.openxmlformats.org/officeDocument/2006/relationships/hyperlink" Target="http://www.ncbi.nlm.nih.gov/pubmed/22133539" TargetMode="External"/><Relationship Id="rId38" Type="http://schemas.openxmlformats.org/officeDocument/2006/relationships/hyperlink" Target="http://www.ncbi.nlm.nih.gov/pubmed/22133539" TargetMode="External"/><Relationship Id="rId59" Type="http://schemas.openxmlformats.org/officeDocument/2006/relationships/image" Target="media/image2.png"/><Relationship Id="rId103" Type="http://schemas.openxmlformats.org/officeDocument/2006/relationships/image" Target="media/image46.png"/><Relationship Id="rId108" Type="http://schemas.openxmlformats.org/officeDocument/2006/relationships/image" Target="media/image51.png"/><Relationship Id="rId54" Type="http://schemas.openxmlformats.org/officeDocument/2006/relationships/hyperlink" Target="http://www.ncbi.nlm.nih.gov/pubmed/22133539" TargetMode="External"/><Relationship Id="rId70" Type="http://schemas.openxmlformats.org/officeDocument/2006/relationships/image" Target="media/image13.png"/><Relationship Id="rId75" Type="http://schemas.openxmlformats.org/officeDocument/2006/relationships/image" Target="media/image18.png"/><Relationship Id="rId91" Type="http://schemas.openxmlformats.org/officeDocument/2006/relationships/image" Target="media/image34.png"/><Relationship Id="rId96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23" Type="http://schemas.openxmlformats.org/officeDocument/2006/relationships/hyperlink" Target="http://www.hgmd.cf.ac.uk/" TargetMode="External"/><Relationship Id="rId28" Type="http://schemas.openxmlformats.org/officeDocument/2006/relationships/hyperlink" Target="http://www.hgmd.cf.ac.uk/" TargetMode="External"/><Relationship Id="rId49" Type="http://schemas.openxmlformats.org/officeDocument/2006/relationships/hyperlink" Target="http://www.ncbi.nlm.nih.gov/pubmed/22133539" TargetMode="External"/><Relationship Id="rId114" Type="http://schemas.openxmlformats.org/officeDocument/2006/relationships/image" Target="media/image57.png"/><Relationship Id="rId119" Type="http://schemas.openxmlformats.org/officeDocument/2006/relationships/image" Target="media/image62.png"/><Relationship Id="rId44" Type="http://schemas.openxmlformats.org/officeDocument/2006/relationships/hyperlink" Target="http://www.ncbi.nlm.nih.gov/pubmed/22133539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8.png"/><Relationship Id="rId81" Type="http://schemas.openxmlformats.org/officeDocument/2006/relationships/image" Target="media/image24.png"/><Relationship Id="rId86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9" Type="http://schemas.openxmlformats.org/officeDocument/2006/relationships/hyperlink" Target="http://www.ncbi.nlm.nih.gov/pubmed/22133539" TargetMode="External"/><Relationship Id="rId109" Type="http://schemas.openxmlformats.org/officeDocument/2006/relationships/image" Target="media/image52.png"/><Relationship Id="rId34" Type="http://schemas.openxmlformats.org/officeDocument/2006/relationships/hyperlink" Target="http://www.ncbi.nlm.nih.gov/pubmed/22133539" TargetMode="External"/><Relationship Id="rId50" Type="http://schemas.openxmlformats.org/officeDocument/2006/relationships/hyperlink" Target="http://www.ncbi.nlm.nih.gov/pubmed/22133539" TargetMode="External"/><Relationship Id="rId55" Type="http://schemas.openxmlformats.org/officeDocument/2006/relationships/hyperlink" Target="http://www.ncbi.nlm.nih.gov/pubmed/22133539" TargetMode="External"/><Relationship Id="rId76" Type="http://schemas.openxmlformats.org/officeDocument/2006/relationships/image" Target="media/image19.png"/><Relationship Id="rId97" Type="http://schemas.openxmlformats.org/officeDocument/2006/relationships/image" Target="media/image40.png"/><Relationship Id="rId104" Type="http://schemas.openxmlformats.org/officeDocument/2006/relationships/image" Target="media/image47.png"/><Relationship Id="rId120" Type="http://schemas.openxmlformats.org/officeDocument/2006/relationships/image" Target="media/image63.png"/><Relationship Id="rId7" Type="http://schemas.openxmlformats.org/officeDocument/2006/relationships/hyperlink" Target="javascript:void(0)" TargetMode="External"/><Relationship Id="rId71" Type="http://schemas.openxmlformats.org/officeDocument/2006/relationships/image" Target="media/image14.png"/><Relationship Id="rId92" Type="http://schemas.openxmlformats.org/officeDocument/2006/relationships/image" Target="media/image35.png"/><Relationship Id="rId2" Type="http://schemas.openxmlformats.org/officeDocument/2006/relationships/styles" Target="styles.xml"/><Relationship Id="rId29" Type="http://schemas.openxmlformats.org/officeDocument/2006/relationships/hyperlink" Target="http://www.hgmd.cf.ac.uk/" TargetMode="External"/><Relationship Id="rId24" Type="http://schemas.openxmlformats.org/officeDocument/2006/relationships/hyperlink" Target="http://www.hgmd.cf.ac.uk/" TargetMode="External"/><Relationship Id="rId40" Type="http://schemas.openxmlformats.org/officeDocument/2006/relationships/hyperlink" Target="http://www.ncbi.nlm.nih.gov/pubmed/22133539" TargetMode="External"/><Relationship Id="rId45" Type="http://schemas.openxmlformats.org/officeDocument/2006/relationships/hyperlink" Target="http://www.ncbi.nlm.nih.gov/pubmed/22133539" TargetMode="External"/><Relationship Id="rId66" Type="http://schemas.openxmlformats.org/officeDocument/2006/relationships/image" Target="media/image9.png"/><Relationship Id="rId87" Type="http://schemas.openxmlformats.org/officeDocument/2006/relationships/image" Target="media/image30.png"/><Relationship Id="rId110" Type="http://schemas.openxmlformats.org/officeDocument/2006/relationships/image" Target="media/image53.png"/><Relationship Id="rId115" Type="http://schemas.openxmlformats.org/officeDocument/2006/relationships/image" Target="media/image58.png"/><Relationship Id="rId61" Type="http://schemas.openxmlformats.org/officeDocument/2006/relationships/image" Target="media/image4.png"/><Relationship Id="rId82" Type="http://schemas.openxmlformats.org/officeDocument/2006/relationships/image" Target="media/image25.png"/><Relationship Id="rId1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30" Type="http://schemas.openxmlformats.org/officeDocument/2006/relationships/hyperlink" Target="http://www.ncbi.nlm.nih.gov/pubmed/?term=Mechtler%20TP%5BAuthor%5D&amp;cauthor=true&amp;cauthor_uid=22133539" TargetMode="External"/><Relationship Id="rId35" Type="http://schemas.openxmlformats.org/officeDocument/2006/relationships/hyperlink" Target="http://www.ncbi.nlm.nih.gov/pubmed/22133539" TargetMode="External"/><Relationship Id="rId56" Type="http://schemas.openxmlformats.org/officeDocument/2006/relationships/hyperlink" Target="http://www.ncbi.nlm.nih.gov/pubmed/22133539" TargetMode="External"/><Relationship Id="rId77" Type="http://schemas.openxmlformats.org/officeDocument/2006/relationships/image" Target="media/image20.png"/><Relationship Id="rId100" Type="http://schemas.openxmlformats.org/officeDocument/2006/relationships/image" Target="media/image43.png"/><Relationship Id="rId105" Type="http://schemas.openxmlformats.org/officeDocument/2006/relationships/image" Target="media/image48.png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http://www.ncbi.nlm.nih.gov/pubmed/22133539" TargetMode="External"/><Relationship Id="rId72" Type="http://schemas.openxmlformats.org/officeDocument/2006/relationships/image" Target="media/image15.png"/><Relationship Id="rId93" Type="http://schemas.openxmlformats.org/officeDocument/2006/relationships/image" Target="media/image36.png"/><Relationship Id="rId98" Type="http://schemas.openxmlformats.org/officeDocument/2006/relationships/image" Target="media/image41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://www.hgmd.cf.ac.uk/" TargetMode="External"/><Relationship Id="rId46" Type="http://schemas.openxmlformats.org/officeDocument/2006/relationships/hyperlink" Target="http://www.ncbi.nlm.nih.gov/pubmed/22133539" TargetMode="External"/><Relationship Id="rId67" Type="http://schemas.openxmlformats.org/officeDocument/2006/relationships/image" Target="media/image10.png"/><Relationship Id="rId116" Type="http://schemas.openxmlformats.org/officeDocument/2006/relationships/image" Target="media/image59.png"/><Relationship Id="rId20" Type="http://schemas.openxmlformats.org/officeDocument/2006/relationships/hyperlink" Target="javascript:void(0)" TargetMode="External"/><Relationship Id="rId41" Type="http://schemas.openxmlformats.org/officeDocument/2006/relationships/hyperlink" Target="http://www.ncbi.nlm.nih.gov/pubmed/22133539" TargetMode="External"/><Relationship Id="rId62" Type="http://schemas.openxmlformats.org/officeDocument/2006/relationships/image" Target="media/image5.png"/><Relationship Id="rId83" Type="http://schemas.openxmlformats.org/officeDocument/2006/relationships/image" Target="media/image26.png"/><Relationship Id="rId88" Type="http://schemas.openxmlformats.org/officeDocument/2006/relationships/image" Target="media/image31.png"/><Relationship Id="rId111" Type="http://schemas.openxmlformats.org/officeDocument/2006/relationships/image" Target="media/image54.png"/><Relationship Id="rId15" Type="http://schemas.openxmlformats.org/officeDocument/2006/relationships/hyperlink" Target="javascript:void(0)" TargetMode="External"/><Relationship Id="rId36" Type="http://schemas.openxmlformats.org/officeDocument/2006/relationships/hyperlink" Target="http://www.ncbi.nlm.nih.gov/pubmed/22133539" TargetMode="External"/><Relationship Id="rId57" Type="http://schemas.openxmlformats.org/officeDocument/2006/relationships/hyperlink" Target="http://www.ncbi.nlm.nih.gov/pubmed/22133539" TargetMode="External"/><Relationship Id="rId106" Type="http://schemas.openxmlformats.org/officeDocument/2006/relationships/image" Target="media/image49.png"/><Relationship Id="rId10" Type="http://schemas.openxmlformats.org/officeDocument/2006/relationships/hyperlink" Target="javascript:void(0)" TargetMode="External"/><Relationship Id="rId31" Type="http://schemas.openxmlformats.org/officeDocument/2006/relationships/hyperlink" Target="http://www.ncbi.nlm.nih.gov/pubmed/?term=Stary%20S%5BAuthor%5D&amp;cauthor=true&amp;cauthor_uid=22133539" TargetMode="External"/><Relationship Id="rId52" Type="http://schemas.openxmlformats.org/officeDocument/2006/relationships/hyperlink" Target="http://www.ncbi.nlm.nih.gov/pubmed/22133539" TargetMode="External"/><Relationship Id="rId73" Type="http://schemas.openxmlformats.org/officeDocument/2006/relationships/image" Target="media/image16.png"/><Relationship Id="rId78" Type="http://schemas.openxmlformats.org/officeDocument/2006/relationships/image" Target="media/image21.png"/><Relationship Id="rId94" Type="http://schemas.openxmlformats.org/officeDocument/2006/relationships/image" Target="media/image37.png"/><Relationship Id="rId99" Type="http://schemas.openxmlformats.org/officeDocument/2006/relationships/image" Target="media/image42.png"/><Relationship Id="rId101" Type="http://schemas.openxmlformats.org/officeDocument/2006/relationships/image" Target="media/image44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14400</Words>
  <Characters>82080</Characters>
  <Application>Microsoft Office Word</Application>
  <DocSecurity>0</DocSecurity>
  <Lines>684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Pavlichenko, Anastasiya /RU</dc:creator>
  <cp:keywords/>
  <dc:description/>
  <cp:lastModifiedBy>Pavlichenko, Anastasiya /RU</cp:lastModifiedBy>
  <cp:revision>2</cp:revision>
  <dcterms:created xsi:type="dcterms:W3CDTF">2020-05-26T00:01:00Z</dcterms:created>
  <dcterms:modified xsi:type="dcterms:W3CDTF">2020-05-26T00:02:00Z</dcterms:modified>
</cp:coreProperties>
</file>