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77" w:rsidRPr="00DF0A77" w:rsidRDefault="00DF0A77" w:rsidP="00DF0A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F0A77"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3391535" cy="2265045"/>
            <wp:effectExtent l="0" t="0" r="0" b="1905"/>
            <wp:docPr id="4" name="Picture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77" w:rsidRPr="00DF0A77" w:rsidRDefault="00DF0A77" w:rsidP="00DF0A77">
      <w:pPr>
        <w:spacing w:after="0" w:line="240" w:lineRule="auto"/>
        <w:textAlignment w:val="baseline"/>
        <w:rPr>
          <w:rFonts w:ascii="inherit" w:eastAsia="Times New Roman" w:hAnsi="inherit" w:cs="Times New Roman"/>
          <w:color w:val="808080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808080"/>
          <w:sz w:val="27"/>
          <w:szCs w:val="27"/>
          <w:lang w:eastAsia="ru-RU"/>
        </w:rPr>
        <w:t>Клинические рекомендации</w:t>
      </w:r>
    </w:p>
    <w:p w:rsidR="00DF0A77" w:rsidRPr="00DF0A77" w:rsidRDefault="00DF0A77" w:rsidP="00DF0A77">
      <w:pPr>
        <w:spacing w:before="750" w:after="16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Болезнь</w:t>
      </w:r>
      <w:proofErr w:type="gramEnd"/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Фабри</w:t>
      </w:r>
    </w:p>
    <w:p w:rsidR="00DF0A77" w:rsidRPr="00DF0A77" w:rsidRDefault="00DF0A77" w:rsidP="00DF0A77">
      <w:pPr>
        <w:spacing w:after="150" w:line="240" w:lineRule="auto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808080"/>
          <w:sz w:val="27"/>
          <w:szCs w:val="27"/>
          <w:bdr w:val="none" w:sz="0" w:space="0" w:color="auto" w:frame="1"/>
          <w:lang w:eastAsia="ru-RU"/>
        </w:rPr>
        <w:t xml:space="preserve">МКБ </w:t>
      </w:r>
      <w:proofErr w:type="gramStart"/>
      <w:r w:rsidRPr="00DF0A77">
        <w:rPr>
          <w:rFonts w:ascii="inherit" w:eastAsia="Times New Roman" w:hAnsi="inherit" w:cs="Times New Roman"/>
          <w:color w:val="808080"/>
          <w:sz w:val="27"/>
          <w:szCs w:val="27"/>
          <w:bdr w:val="none" w:sz="0" w:space="0" w:color="auto" w:frame="1"/>
          <w:lang w:eastAsia="ru-RU"/>
        </w:rPr>
        <w:t>10:</w:t>
      </w: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  <w:t>Е</w:t>
      </w:r>
      <w:proofErr w:type="gram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  <w:t>75.2</w:t>
      </w:r>
    </w:p>
    <w:p w:rsidR="00DF0A77" w:rsidRPr="00DF0A77" w:rsidRDefault="00DF0A77" w:rsidP="00DF0A7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808080"/>
          <w:sz w:val="27"/>
          <w:szCs w:val="27"/>
          <w:bdr w:val="none" w:sz="0" w:space="0" w:color="auto" w:frame="1"/>
          <w:lang w:eastAsia="ru-RU"/>
        </w:rPr>
        <w:t>Год утверждения (частота пересмотра):</w:t>
      </w: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  <w:t>2019</w:t>
      </w:r>
    </w:p>
    <w:p w:rsidR="00DF0A77" w:rsidRPr="00DF0A77" w:rsidRDefault="00DF0A77" w:rsidP="00DF0A77">
      <w:pPr>
        <w:spacing w:after="150" w:line="240" w:lineRule="auto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808080"/>
          <w:sz w:val="27"/>
          <w:szCs w:val="27"/>
          <w:bdr w:val="none" w:sz="0" w:space="0" w:color="auto" w:frame="1"/>
          <w:lang w:eastAsia="ru-RU"/>
        </w:rPr>
        <w:t>ID:</w:t>
      </w: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  <w:t>318</w:t>
      </w:r>
    </w:p>
    <w:p w:rsidR="00DF0A77" w:rsidRPr="00DF0A77" w:rsidRDefault="00DF0A77" w:rsidP="00DF0A7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808080"/>
          <w:sz w:val="27"/>
          <w:szCs w:val="27"/>
          <w:bdr w:val="none" w:sz="0" w:space="0" w:color="auto" w:frame="1"/>
          <w:lang w:eastAsia="ru-RU"/>
        </w:rPr>
        <w:t>URL</w:t>
      </w:r>
    </w:p>
    <w:p w:rsidR="00DF0A77" w:rsidRPr="00DF0A77" w:rsidRDefault="00DF0A77" w:rsidP="00DF0A7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808080"/>
          <w:sz w:val="27"/>
          <w:szCs w:val="27"/>
          <w:bdr w:val="none" w:sz="0" w:space="0" w:color="auto" w:frame="1"/>
          <w:lang w:eastAsia="ru-RU"/>
        </w:rPr>
        <w:t>Профессиональные ассоциации</w:t>
      </w:r>
    </w:p>
    <w:p w:rsidR="00DF0A77" w:rsidRPr="00DF0A77" w:rsidRDefault="00DF0A77" w:rsidP="00DF0A77">
      <w:pPr>
        <w:numPr>
          <w:ilvl w:val="0"/>
          <w:numId w:val="1"/>
        </w:numPr>
        <w:spacing w:after="15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lang w:eastAsia="ru-RU"/>
        </w:rPr>
        <w:t>Ассоциация медицинских генетиков · Союз педиатров России</w:t>
      </w:r>
    </w:p>
    <w:p w:rsidR="00DF0A77" w:rsidRPr="00DF0A77" w:rsidRDefault="00DF0A77" w:rsidP="00DF0A77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Одобрено Научно-практическим Советом Минздрава РФ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Оглавление</w:t>
      </w:r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6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Ключевые слова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7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Список сокращений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8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Термины и определения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9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1. Краткая информация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0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2. Диагностика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1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3. Лечение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2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4. Реабилитация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3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5. Профилактика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4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6. Дополнительная информация, влияющая на течение и исход заболевания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5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Критерии оценки качества медицинской помощи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6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Список литературы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7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Приложение А1. Состав рабочей группы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8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Приложение А2. Методология разработки клинических рекомендаций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19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Приложение А3. Связанные документы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20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Приложение Б. Алгоритмы ведения пациента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21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Приложение В. Информация для пациентов</w:t>
        </w:r>
      </w:hyperlink>
    </w:p>
    <w:p w:rsidR="00DF0A77" w:rsidRPr="00DF0A77" w:rsidRDefault="00657319" w:rsidP="00DF0A77">
      <w:pPr>
        <w:numPr>
          <w:ilvl w:val="0"/>
          <w:numId w:val="2"/>
        </w:numPr>
        <w:spacing w:after="0" w:line="390" w:lineRule="atLeast"/>
        <w:ind w:left="315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kern w:val="36"/>
          <w:sz w:val="27"/>
          <w:szCs w:val="27"/>
          <w:lang w:eastAsia="ru-RU"/>
        </w:rPr>
      </w:pPr>
      <w:hyperlink r:id="rId22" w:history="1">
        <w:r w:rsidR="00DF0A77" w:rsidRPr="00DF0A77">
          <w:rPr>
            <w:rFonts w:ascii="inherit" w:eastAsia="Times New Roman" w:hAnsi="inherit" w:cs="Times New Roman"/>
            <w:b/>
            <w:bCs/>
            <w:color w:val="22A1DE"/>
            <w:kern w:val="36"/>
            <w:sz w:val="27"/>
            <w:szCs w:val="27"/>
            <w:u w:val="single"/>
            <w:bdr w:val="none" w:sz="0" w:space="0" w:color="auto" w:frame="1"/>
            <w:lang w:eastAsia="ru-RU"/>
          </w:rPr>
          <w:t>Приложение Г.</w:t>
        </w:r>
      </w:hyperlink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Ключевые слова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Список сокращений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АГАЛ - альфа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галактозидаза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А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АЛТ -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аланинаминотрансфераза</w:t>
      </w:r>
      <w:proofErr w:type="spellEnd"/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АСТ -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аспартатаминотрансфераза</w:t>
      </w:r>
      <w:proofErr w:type="spellEnd"/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БФ -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болезнь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Фабри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КТ - компьютерная томография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ЛБН -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лизосомные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болезни накопления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МРТ - магнитно-резонансная томография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НПВС - нестероидные противовоспалительные средства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СКФ - скорость клубочковой фильтрации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УЗИ - ультразвуковое исследование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ФЗТ - ферментная заместительная терапия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ХПН - хроническая почечная недостаточность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ЭКГ - электрокардиография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ЭНМГ -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электронейромиография</w:t>
      </w:r>
      <w:proofErr w:type="spellEnd"/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Эхо-КГ - эхокардиография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ЭЭГ - электроэнцефалография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lyso-Gb3 –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глоботриаозилсфингозин</w:t>
      </w:r>
      <w:proofErr w:type="spellEnd"/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Термины и определения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Ферментная заместительная терапия – лечение, заключающееся во введении препарата (рекомбинантного фермента) пациентам с наследственным нарушением метаболизма.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Лизосомные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болезни накопления – группа наследственных моногенных заболеваний, связанных с нарушением функции лизосом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1. Краткая информация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lastRenderedPageBreak/>
        <w:t>1.1 Определение заболевания или состояния (группы заболеваний или состояний)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Болезнь Фабри (БФ) или болезнь Андерсона-Фабри – наследственное заболевание, относящееся к группе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лизосомных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болезней накопления (ЛБН), обусловленное снижением или отсутствием активности фермента α-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галактозидазы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А (АГАЛ). Дефицит фермента приводит к накоплению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гликофосфолипидов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 лизосомах клеток различных органов, включая сердце, почки, нервную систему и эндотелий сосудов. Заболевание носит прогрессирующий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мультисистемный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характер, характеризуется снижением качества и продолжительности жизни. Без соответствующего лечения смертельный исход, как правило, наступает на 4-5м десятилетии жизни от сердечно-сосудистых, цереброваскулярных осложнений или почечной недостаточности [1,4].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1.2 Этиология и патогенез заболевания или состояния (группы заболеваний или состояний)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Причиной возникновения БФ являются мутации гена GLA, кодирующего фермент α-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галактозидазу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А (GLA; EC 3.2.1.22, АГАЛ). Ген GLA картирован на длинном плече хромосомы Хq22.1, имеет размер около 12 тысяч пар нуклеотидов и состоит из 7 экзонов.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 настоящему времени идентифицировано более 600 вариантов в гене GLA, в том числе около 500 патогенных мутаций, изменяющих свойства и стабильность АГАЛ [1,4]. Большинство мутаций являются уникальными для каждой семьи. БФ наследуется по X-сцепленному типу.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Первичным биохимическим дефектом при БФ является недостаточность фермента АГАЛ, который отщепляет терминальный остаток α-галактозы олигосахаридной цепи нейтральных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гликосфинголипидов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. Недостаточность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 xml:space="preserve">фермента приводит к накоплению в лизосомах разных клеток (эндотелиальные и гладкомышечные клетки сосудов, эпителиальные клетки большинства органов, центральной нервной системы, сердца)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гликосфинголипидов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 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1.3 Эпидемиология заболевания или состояния (группы заболеваний или состояний)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БФ относится к редким заболеваниям. Частота болезни в различных странах варьирует в широких пределах (от 1 на 117 000 до 1 на 476 000 живых новорожденных) [1]. Частота новых случаев БФ, оцененная на выборках новорожденных мальчиков, составила в Италии 1:3100 [2], а на Тайване 1:2400 [3]. Вероятно, что более распространенным является легкое, атипичное течение БФ с признаками поражения одного органа.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При проведении скрининга групп высокого риска у мужчин и женщин с ранним инсультом доля БФ составила 4,2% и 2,15%, соответственно, с гипертрофией левого желудочка неясного происхождения – 0,9-3,9% и 1,1-11,8%, с терминальной почечной недостаточностью – 0,33% и 0,10% [1,18,36].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1.4 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E75.2 – Другие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сфинголипидозы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(болезнь Фабри)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1.5 Классификация заболевания или состояния (группы заболеваний или состояний)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 xml:space="preserve">БФ относится к ЛБН, подгруппе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сфинголипидозов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. С клинической точки зрения выделяют две формы БФ – классическую (дебют в любом возрасте,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мультисистемное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поражение) и неклассическую (позднее начало, изолированное поражение одной системы органов: головного мозга, сердца или почек) [1,4].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1.6 Клиническая картина заболевания или состояния (группы заболеваний или состояний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Клинические проявления при БФ могут быть чрезвычайно разнообразными как у лиц мужского, так и женского пола даже у членов одной семьи. Выраженность клинических проявлений БФ в разном возрасте приведена в Приложении Г1 [1,4].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Внешние особенности. Гемизиготные мужчины часто имеют характерный внешний вид, напоминающий больных с акромегалией – выступающие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супраорбитальные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дуги и лобные бугры, выступающая нижняя челюсть, увеличенные губы, запавшая переносица.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Кожные проявления.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представлены четко ограниченными папулами красного, темно-красного, бордового, лилового или сине-черного цвета размером 0,2 - 1,0 см. образующиеся из скоплений отдельных кровеносных сосудов в верхних слоях дермы и утолщение эпидермиса в виде поверхностного гиперкератоза. Очаги на начальной стадии плоские, более светлого цвета и легче поддаются сжатию. С течением времени они темнеют, становятся тверже и слегка приподняты над поверхностью кожи. Обычно они расположены симметрично в паховой области, на ягодицах, бедрах и в области пупка, на ладонях. Единичные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могут приобретать вид единичной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ангеокератомы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саркомы Капоши,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пиогенной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гранулемы, пигментированного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базально-клеточного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 плоскоклеточного рака в некоторых случаях меланому.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проявляются в детстве и постепенно с годами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 xml:space="preserve">увеличиваются в количестве и в размерах. Могут возникнуть также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ангиоэктазии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 слизистой рта и конъюнктиве. Известны случаи БФ без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</w:t>
      </w:r>
    </w:p>
    <w:p w:rsidR="00DF0A77" w:rsidRPr="00657319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Периферическая нервная система. БФ относится к болезненным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полиневропатиям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. У пациентов с БФ в 60–80% случаев наблюдается хроническая выраженная, изнуряющая невропатическая боль в конечностях. Для этой боли типичны такие жалобы, как длительная жгучая боль, стреляющая пронзающая боль, боль, подобная электрическому разряду,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акропарестезии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– спонтанные неприятные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неболевые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ощущения по типу покалывания иголками, ползания мурашек в кистях и стопах,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аллодиния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– боль в ответ на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неболевой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стимул,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гиперпатия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– чрезмерная болевая реакция на болевой стимул, она может быть как механической, то есть боль на прикосновение кисточкой, ваткой, так и температурной - при термическом воздействии, при повышении температуры окружающей среды. Некоторые пациенты также отмечают леденящую боль в области ладоней на морозе.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Кроме постоянной невропатической боли и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акропарестезий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для БФ типичны болевые кризы, которые часто возникают при перемене погоды, лихорадке, физической нагрузке, стрессе и после приема алкоголя. Эти эпизоды могут возникнуть у лиц обоих полов и начаться уже с двух лет. При </w:t>
      </w:r>
      <w:proofErr w:type="gram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кризе</w:t>
      </w:r>
      <w:proofErr w:type="gram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Фабри боль приобретает более мучительный характер, может </w:t>
      </w:r>
      <w:proofErr w:type="spellStart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иррадиировать</w:t>
      </w:r>
      <w:proofErr w:type="spellEnd"/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из дистальных отделов конечностей в проксимальные, длится от нескольких секунд до нескольких недель и не снимается наркотическими анальгетиками [35].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Точный механизм невропатической боли при БФ остается до конца не изученным. Предполагается, что боль является результатом структурных повреждений тонких нервных волокон в результате накопления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глоботриаозилцерамида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 аксонах нервов, ганглиях задних корешков и в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vasa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nervorum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(лат. сосуды нервов). Это болевой вариант полиневропатии тонких волокон, периферическая невропатическая боль. Также известно о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кальцификации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таламуса при БФ (центральная невропатическая боль при повреждении таламуса).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 xml:space="preserve">Нарушение потоотделения. У пациентов с БФ часто встречается снижение или полное отсутствие потоотделения. Эти изменения связаны с накоплением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глоботриаозилцерамида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 потовых железах и в стенках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кровоснабжающих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их сосудов, а также с поражением вегетативных нервных волокон (вегетативный вариант полиневропатии тонких волокон). В редких случаях наблюдается гипергидроз.</w:t>
      </w:r>
    </w:p>
    <w:p w:rsidR="00DF0A77" w:rsidRPr="00657319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657319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Центральная нервная система. БФ можно отнести к болезни малых сосудов (малых артерий и артериол). У пациентов с БФ высок риск развития транзиторных ишемических атак и ишемических/геморрагических инсультов уже в молодом возрасте. Частота инсульта составляет 6,9% у мужчин и 4,3% у женщин. У большинства больных инсульт развивается в возрасте от 20 до 50 лет, в том числе у каждого пятого из этих больных - в возрасте до 30 лет. Геморрагический инсульт у мужчин встречается чаще, чем у женщин. У 2/3 больных инсульт является следствием атипичного течения болезни с изолированным поражением сосудов головного мозга. В 50% БФ дебютирует с мозгового инсульта. Вследствие этого БФ следует подозревать у всех больных с ранним развитием инсульта даже при отсутствии очевидных причин и факторов риска. Кроме того, вследствие хронической ишемии головного мозга может развиваться сосудистая деменция, для которой характерно снижение памяти и поведенческие нарушения [1,4,7,35].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Поражение почек. Первые симптомы –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микроальбуминурия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 протеинурия чаще появляются в подростковом и взрослом возрасте, но могут появиться и на первом десятилетии жизни. С возрастом протеинурия постепенно нарастает и может достигать нефротического уровня, хотя развернутый нефротический синдром обычно не развивается. Нередко отмечаются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канальцевые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нарушения. Протеинурия не сопровождается изменениями мочевого осадка. Позднее начинается постепенное снижение функции почек, которое приводит к развитию терминальной хронической почечной недостаточности (ХПН). Последняя остается одной из основных причин смерти пациентов с БФ, хотя заместительная почечная терапия или трансплантация почек позволяют продлить жизнь таким больным. У пациентов с неклассической БФ возможно изолированное поражение почек. В таких случаях диагноз может быть установлен на основании исследования почечного биоптата [1,4].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lastRenderedPageBreak/>
        <w:t xml:space="preserve">Поражение сердца. Поражение сердца относят к числу распространенных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>прогностически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 xml:space="preserve"> неблагоприятных проявлений БФ. Именно заболевания сердца стоят на первом месте среди причин смерти у пациентов с БФ (34% среди мужчин и 57% среди женщин). Характерным признаком поражения сердца при БФ является гипертрофия левого желудочка, которая может быть выявлена с помощью ЭКГ, эхокардиографии и магнитно-резонансной томографии.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 xml:space="preserve">Утолщение стенок сердца нельзя объяснить только отложением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>гликосфинголипидов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 xml:space="preserve"> в миоцитах и проводящей ткани, так как их доля составляет менее 3% от общей массы миокарда. Соответственно, более важное значение имеют гипертрофия миоцитов и фиброз. Гипертрофия и фиброз миокарда часто сопровождаются диастолической дисфункцией левого желудочка. Для оценки функции сердца применяют тканевую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>допплерэхокардиографию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 xml:space="preserve">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>допплер-ЭхоКГ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 xml:space="preserve">), результаты которой могут иметь важное значение в диагностике бессимптомного поражения сердца. Нарушения диастолической функции могут привести к развитию сердечной недостаточности. Признаки застойной сердечной недостаточности выявляются у 11% мужчин и 6% женщин с БФ. Часто развиваются предсердные и желудочковые аритмии и нарушения проводимости. Инфаркт миокарда был диагностирован только у 2% пациентов. Тем не менее, стенокардия наблюдалась у 13-20% пациентов с БФ и чаще при наличии гипертрофии левого желудочка. Изменения клапанов сердца при БФ встречаются часто, но обычно не имеют клинического значения.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>Возможно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>моносимптомное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highlight w:val="yellow"/>
          <w:lang w:eastAsia="ru-RU"/>
        </w:rPr>
        <w:t xml:space="preserve"> течение заболевания с поражением только сердца (неклассическая БФ) [1,4,13].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Поражение лимфатической системы. Развитие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лимфедемы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связано с накоплением гликолипидов</w:t>
      </w:r>
      <w:bookmarkStart w:id="0" w:name="_GoBack"/>
      <w:bookmarkEnd w:id="0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 стенках лимфатических сосудов. У больных БФ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лимфедема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проявляется в подростковом или взрослом возрасте и при отсутствии необходимого лечения может приводить к выраженным трофическим изменениям с изъязвлениями кожного покрова нижних конечностей и осложняться рожистым воспалением и сепсисом.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Офтальмологические нарушения. Типичным симптомом БФ является помутнение роговицы в виде завитков (70-90% больных) [1,14,15]. Редко встречаются задняя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субкапсулярная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катаракта и поражение сосудов сетчатки.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Изменения со стороны органов слуха и вестибулярного аппарата. У пациентов с БФ может отмечаться снижение слуха, шум в ушах, головокружение.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Особенности клинической картины БФ у детей. Первые клинические проявления БФ у детей чаще всего возникают в подростковом и юношеском возрасте, хотя иногда признаки заболевания могут дебютировать и в 2-4 года [1,4,5]. Сначала симптомы заболевания имеют неспецифический характер, что значительно затрудняет и замедляет постановку диагноза. Это может быть боль, дискомфорт в животе, неоформленный стул, сухость кожных покровов, плохая переносимость жары, иногда приводящая к развитию липотимических, обморочных состояний, эпизодические боли в стопах или кистях. Если боли в руках дебютируют в возрасте менее 3 лет, то верифицировать их бывает крайне сложно, т.к. внешне эпизод боли выглядит как истерика, психомоторное возбуждение. Косвенным признаком является то, что ребенок успокаивается в прохладной воде (бассейн), испытывает облегчение, когда ложится на холодную поверхность (например, кафельный пол). В дальнейшем жалобы на боли в конечностях становятся более частыми и постепенно приобретают типичные для БФ проявления.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Гастроэнтерологические проявления болезни могут быть одним из первых симптомов заболевания в детском и юношеском возрасте и возникать на первом десятилетии жизни, однако, в силу своей малой специфичности являются косвенными маркерам БФ в сочетании с другими более типичными симптомами. Наиболее часто наблюдаются схваткообразные боли в животе, вздутие живота, неустойчивый стул, тошнота, рвота снижение аппетита и дефицит веса.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Специфическое «мутовчатое» помутнение роговицы (так называемая «воронкообразная»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кератопатия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или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cornea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verticillata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) – частый симптом в детской и подростковой популяции пациентов с БФ. Его можно обнаружить в возрасте 4-5 лет. Такая специфичность делает возможным предположить наличие БФ на ранней стадии. Такие изменения, как помутнение хрусталика в виде радиальной задней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субкапсулярной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катаракты - «катаракты Фабри» и двусторонней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 xml:space="preserve">передней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капсулярной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подкапсулярной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катаракты редко встречаются у детей и являются патогномоничными симптомами у взрослых больных.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Типичные кожные проявления БФ -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, также могут наблюдаться у пациентов уже в детском возрасте. Первые элементы часто появляются в подростковом возрасте, как правило, бывают единичными и могут иметь нетипичную локализацию (уши, грудная клетка), на слизистых полости рта, поэтому их обнаружение часто весьма затруднительно и возможно после тщательного осмотра.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Поражение почек также часто дебютирует в детском возрасте (в 3-5 лет), однако, клинически оно никак не проявляется. Выявить его возможно только лабораторными методами (суточная экскреция белка/альбумина с мочой). Первым признаком дисфункции почек, часто имеющем место у детей и подростков, страдающих БФ, является эпизодическая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микропротеинурия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микроальбуминурия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(экскреция альбумина с мочой от 30 до 300 мг/24 ч). В дальнейшем альбуминурия становится постоянной, ее уровень увеличивается. Как правило, более тяжелое поражение почек для детей и подростков не характерно, а клинические признаки появляются на третьем десятилетии жизни.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Симптомы поражения сердечно-сосудистой системы при БФ в подростковом возрасте весьма сложны для диагностики. Так у подростков бывают периодические подъемы или падения артериального давления, или, как правило, бессимптомные варианты аритмий, зарегистрированные на электрокардиограмме. Однако, четко дифференцировать ранние проявления БФ от возрастных вегетативных нарушений в большинстве случаев невозможно.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Другими крайне редкими неврологическими проявлениями БФ у детей, являются цереброваскулярные нарушения, сопровождающиеся повышенным риском инсульта. Имеются литературные данные о пациентах, имеющих преходящие нарушения мозгового кровообращения с 12 лет [5].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 xml:space="preserve">Нарушения слуха относятся к типичным проявлениям БФ. К более ранним симптомам, возникающим в детском и подростковом возрасте, относятся шум (звон) в ушах (одно- или двухсторонний) и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головокружение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к которым с возрастом присоединяется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нейросенсорная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тугоухость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К менее специфичным симптомам заболевания, редко встречающимся у детей и подростков, также относятся особенности внешности (изменения по типу акромегалии), нарушения дыхания, анемия, скелетные аномалии (деформация дистальных отделов межфаланговых суставов пальцев рук с нарушением их подвижности, утолщение концевых фаланг пальцев по типу «барабанных палочек»),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остеопения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остеопороз, трещины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эритематозные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изменения грибовидных сосочков на дорзальной поверхности языка; глоссит, гранулематозный хейлит, гипотиреоз, задержка полового развития, приапизм, и др.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2. Диагностика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Диагноз БФ устанавливается на основании совокупности анамнестических и клинических данных, результатов лабораторного исследования (биохимического и молекулярно-генетических исследований).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Заподозрить БФ проще при наличии классического варианта – системного заболевания с поражением почек, сердца, кожи, нервной системы, желудочно-кишечного тракта, органа зрения. Однако, поражение сердца или почек может быть единственным проявлением БФ. У таких пациентов отсутствуют какие-либо симптомы заболевания в детском возрасте. Диагностировать атипичные варианты БФ можно только путем скрининга групп риска. Предполагать БФ следует у всех пациентов с гипертрофией миокарда левого желудочка неясного происхождения и инсультом, развившимся в молодом возрасте (до 40 лет).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 xml:space="preserve">Дифференциальная диагностика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ангиокератом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Выявление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является важным диагностическим «ключом» при БФ. Во время кризов, сопровождающихся лихорадкой и болями,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могут быть приняты за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петехиальную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сыпь, что приводит к установлению ошибочного диагноза менингита. Дифференциальный диагноз следует также проводить с наследственной геморрагической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телангиэктазией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Рендю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-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Ослера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-Вебера, с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Фордайса,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Мибелли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 ограниченной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невиформной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туловища.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также встречаются и при других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лизосомных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болезнях накопления: болезни Шиндлера,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фукозидозе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ганглиозидозе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аспартатглюкозаминурии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сиалидозе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Болевой синдром.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Болевой синдром при БФ часто сопровождается субфебрильной лихорадкой и повышенной СОЭ, что часто приводит к установлению «ложных» диагнозов: ревматоидного артрита, ревматической лихорадки, артритов,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эритромелалгии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синдрома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Рейно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Почечная патология.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При изолированном поражении почек мочевой синдром может ошибочно интерпретироваться как хронический латентный гломерулонефрит или интерстициальный нефрит.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Сердечно-сосудистая система</w:t>
      </w:r>
      <w:r w:rsidRPr="00DF0A77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.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Симптомы сходны с кардиомегалией или аритмией неясного генеза.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Офтальмологические нарушения.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 помощью щелевой лампы выявляют помутнение роговицы в виде завитков.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Желудочно-кишечный тракт.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Желудочно-кишечные симптомы при БФ имеют сходство с синдромом раздражённого кишечника, болезнью Крона.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Дифференциальный диагноз БФ представлен в Приложении Г2.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2.1 Жалобы и анамнез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Спектр возможных жалоб у пациентов с БФ может быть весьма широким и зависит от формы заболевания (классической или неклассической), пола пациента (у женщин заболевание обычно протекает в более легкой и стертой форме), возраста манифестации болезни и индивидуальных особенностей течения заболевания.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Жалобы и анамнестические события: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отягощенный семейный анамнез (боли в конечностях, ранние инсульты, инфаркты, хроническая почечная недостаточность (ХПН) в семье);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утомляемость;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депрессия;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«ниже пояса»: на ягодицах, пояснице, половых органах, на нижних конечностях;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снижение слуха, шум в ушах;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головокружения;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боли в кистях и стопах (мучительное чувство покалывания или ползания мурашек в конечностях, больше в кистях и стопах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акропарастезии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);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повышение чувствительности с локализацией в области стоп и кистей;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боли в суставах конечностей, бедрах и голенях;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болевые кризы (это характерное отличие от других болевых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полиневропатий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тонких волокон в пользу БФ);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боли в животе;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лихорадка неясного генеза;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плохая переносимость холода и жары;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гипо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- или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ангидроз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хроническая диарея;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перенесенный инсульт/инсульты;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признаки поражения почек (протеинурия, повышение сывороточного уровня креатинина);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признаки поражение сердечно-сосудистой системы (боли в сердце, перебои, изменения на ЭКГ);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катаракта;</w:t>
      </w:r>
    </w:p>
    <w:p w:rsidR="00DF0A77" w:rsidRPr="00DF0A77" w:rsidRDefault="00DF0A77" w:rsidP="00DF0A77">
      <w:pPr>
        <w:numPr>
          <w:ilvl w:val="0"/>
          <w:numId w:val="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помутнение роговицы.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Жалобы и анамнез также описаны в разделе «клиническая картина».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 xml:space="preserve">2.2 </w:t>
      </w: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Физикальное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 xml:space="preserve"> обследование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Выраженность клинических проявлений БФ в разном возрасте может варьировать, при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физикальном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осмотре могут проявляться следующие признаки БФ:</w:t>
      </w:r>
    </w:p>
    <w:p w:rsidR="00DF0A77" w:rsidRPr="00DF0A77" w:rsidRDefault="00DF0A77" w:rsidP="00DF0A77">
      <w:pPr>
        <w:numPr>
          <w:ilvl w:val="0"/>
          <w:numId w:val="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грубые черты лица;</w:t>
      </w:r>
    </w:p>
    <w:p w:rsidR="00DF0A77" w:rsidRPr="00DF0A77" w:rsidRDefault="00DF0A77" w:rsidP="00DF0A77">
      <w:pPr>
        <w:numPr>
          <w:ilvl w:val="0"/>
          <w:numId w:val="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ангиокератома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(внутренняя поверхность бедер, кисти, живот, слизистые ротовой полости);</w:t>
      </w:r>
    </w:p>
    <w:p w:rsidR="00DF0A77" w:rsidRPr="00DF0A77" w:rsidRDefault="00DF0A77" w:rsidP="00DF0A77">
      <w:pPr>
        <w:numPr>
          <w:ilvl w:val="0"/>
          <w:numId w:val="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признаки увеличения сердца;</w:t>
      </w:r>
    </w:p>
    <w:p w:rsidR="00DF0A77" w:rsidRPr="00DF0A77" w:rsidRDefault="00DF0A77" w:rsidP="00DF0A77">
      <w:pPr>
        <w:numPr>
          <w:ilvl w:val="0"/>
          <w:numId w:val="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признаки периферического болевого синдрома в рамках дистальной полиневропатии с преимущественным поражением тонких волокон</w:t>
      </w:r>
    </w:p>
    <w:p w:rsidR="00DF0A77" w:rsidRPr="00DF0A77" w:rsidRDefault="00DF0A77" w:rsidP="00DF0A77">
      <w:pPr>
        <w:numPr>
          <w:ilvl w:val="0"/>
          <w:numId w:val="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признаки перенесенного инсульта (парезы, нарушения речи).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Подробно данные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физикального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обследования описаны в разделе «клиническая картина».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2.3 Лабораторные диагностические исследования</w:t>
      </w:r>
    </w:p>
    <w:p w:rsidR="00DF0A77" w:rsidRPr="00DF0A77" w:rsidRDefault="00DF0A77" w:rsidP="00DF0A77">
      <w:pPr>
        <w:numPr>
          <w:ilvl w:val="0"/>
          <w:numId w:val="5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 xml:space="preserve">Рекомендовано определение активности АГАЛ в пятнах крови, высушенных на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фильтровальнои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̆ бумаге или в лейкоцитах крови всем пациентам мужского пола (в том числе и на доклинической стадии) для подтверждения диагноза [16, 26, 28, 29, 37].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А (уровень достоверности доказательств 3).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Комментарии</w:t>
      </w: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: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</w:t>
      </w:r>
      <w:proofErr w:type="gram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мужчин сниженная активность АГАЛ является достаточно информативным признаком БФ. Однако у трети женщин с БФ активность этого фермента может быть в норме [17], поэтому при проведении ферментного теста женщинам это нужно учитывать. Правила забора биоматериала для проведения исследований в пятнах высушенной крови приведены в Приложении Г6.</w:t>
      </w:r>
    </w:p>
    <w:p w:rsidR="00DF0A77" w:rsidRPr="00DF0A77" w:rsidRDefault="00DF0A77" w:rsidP="00DF0A77">
      <w:pPr>
        <w:numPr>
          <w:ilvl w:val="0"/>
          <w:numId w:val="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проведение молекулярно-генетического исследования для всех пациентов со сниженной активностью фермента АГАЛ и для лиц женского пола при клиническом подозрении на БФ и при наличии родственников с БФ в родословной: выявление мутаций в гене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GLA,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кодирующем АГАЛ для подтверждения диагноза на молекулярно-генетическом уровне у мужчин со сниженной активностью фермента и для женщин с клиническими признаками БФ или родственников пробанда по материнской линии [1, 17, 26, 28, 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В (уровень достоверности доказательств 3).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Комментарии</w:t>
      </w: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: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</w:t>
      </w:r>
      <w:proofErr w:type="gram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получении положительного или сомнительного результата ферментного теста у мужчин и у женщин проводится подтверждающий молекулярно-генетический анализ гена GLA. Широкое распространение аллелей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псевдодефицита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(например, p.D313Y), приводящих к сниженной активности АГАЛ в сухом пятне крови и, иногда пониженной, – в лейкоцитах и плазме крови, обуславливает обязательное включение молекулярно-генетического анализа в лабораторную диагностику БФ.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Выявление семейной мутации гена GLA делает возможным обследование родственников пробанда, выявление гетерозиготных носительниц БФ, а также проведение пренатальной и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преимплантационной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диагностики. Большинство мутаций у пациентов с БФ могут быть выявлены с помощью секвенирования всех экзонов и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приэкзонных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 xml:space="preserve">участков интронов по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Сэнгеру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, но в небольшом проценте случаев мутацию с применением стандартных методов обнаружить не удается.</w:t>
      </w:r>
    </w:p>
    <w:p w:rsidR="00DF0A77" w:rsidRPr="00DF0A77" w:rsidRDefault="00DF0A77" w:rsidP="00DF0A77">
      <w:pPr>
        <w:numPr>
          <w:ilvl w:val="0"/>
          <w:numId w:val="7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всем пациентам с клинической картиной БФ- определение концентрации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глоботриаозилсфингозина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(Lyso-GB3) в пятнах высушенной крови или плазме крови для биохимического подтверждения диагноза [10, 30, 38].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В (уровень достоверности доказательств 3).</w:t>
      </w:r>
    </w:p>
    <w:p w:rsidR="00DF0A77" w:rsidRPr="00DF0A77" w:rsidRDefault="00DF0A77" w:rsidP="00DF0A77">
      <w:pPr>
        <w:numPr>
          <w:ilvl w:val="0"/>
          <w:numId w:val="8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определение концентрации Lyso-GB3 в пятнах высушенной крови или плазме крови всем пациентам с установленным диагнозом БФ перед началом терапии и на фоне ферментной заместительной терапии (ФЗТ) для биохимического контроля лечения [10, 30, 31, 38].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В (уровень достоверности доказательств 3).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Комментарии: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Количественное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 определение этого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биомаркера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позволяет выявлять не только мужчин, но и женщин с БФ, что полезно для уточнения клинического статуса женщин - гетерозигот, а также для разрешения трудных диагностических случаев. Второе важное применение Lyso-GB3 – это мониторинг состояния и эффективности терапии пациентов с БФ. Показано, что при адекватной ФЗТ количество субстрата в плазме крови уменьшается. Поэтому целесообразно сделать количественное определение Lyso-GB3 частью мониторинга состояния пациентов с БФ, как находящихся на патогенетической терапии, так и живущих без ФЗТ. Однако, следует учитывать, что даже у пациентов, получающих ФЗТ уровень, этого метаболита практически никогда не достигает нормальных значений. Правила забора биоматериала для проведения исследований в пятнах высушенной крови приведены в Приложении Г6.</w:t>
      </w:r>
    </w:p>
    <w:p w:rsidR="00DF0A77" w:rsidRPr="00DF0A77" w:rsidRDefault="00DF0A77" w:rsidP="00DF0A77">
      <w:pPr>
        <w:numPr>
          <w:ilvl w:val="0"/>
          <w:numId w:val="9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Не 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проведение биопсии и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патолого-анатомического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исследования тканей почки и сердца для пациентов с клиническим подозрением на БФ для подтверждения диагноза [13, 26, 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Комментарии</w:t>
      </w: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: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Несмотря</w:t>
      </w:r>
      <w:proofErr w:type="gram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то, что данные методы исследования могут быть использованы для дифференциальной диагностики БФ, предпочтение должно отдаваться менее интервенционным методам исследования, таким как ферментная диагностика или молекулярно-генетическое обследование</w:t>
      </w:r>
    </w:p>
    <w:p w:rsidR="00DF0A77" w:rsidRPr="00DF0A77" w:rsidRDefault="00DF0A77" w:rsidP="00DF0A77">
      <w:pPr>
        <w:numPr>
          <w:ilvl w:val="0"/>
          <w:numId w:val="10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проведение лабораторных исследований согласно клиническим рекомендациям по ведению пациентов с ХПН при наличии у пациента с БФ признаков поражения почек с целью оценки состояния почек не реже 1 раза в 6 месяцев [26, 28, 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numPr>
          <w:ilvl w:val="0"/>
          <w:numId w:val="11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проведение лабораторных исследований согласно клиническим рекомендациям по ведению пациентов гипертрофической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кардиомиопатией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(КР283) при наличии у пациента с БФ признаков поражения сердечной мышцы [13, 26,28,29].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4).</w:t>
      </w:r>
    </w:p>
    <w:p w:rsidR="00DF0A77" w:rsidRPr="00DF0A77" w:rsidRDefault="00DF0A77" w:rsidP="00DF0A77">
      <w:pPr>
        <w:numPr>
          <w:ilvl w:val="0"/>
          <w:numId w:val="12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вне зависимости от клинических проявлений регулярное определение количества белка и альбумина в суточной моче  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микроальбуминурии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/ протеинурии), а также проведение оценки уровня расчетной скорости клубочковой фильтрации (СКФ) исходно и далее не реже 1 раза в 6 месяцев всем пациентам с установленным диагнозом БФ и бессимптомным пациентам, выявленным при семейном скрининге для выявления патологии почек [26,28,29, 39].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В (уровень достоверности доказательств 2)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2.4 Инструментальные диагностические исследования</w:t>
      </w:r>
    </w:p>
    <w:p w:rsidR="00DF0A77" w:rsidRPr="00DF0A77" w:rsidRDefault="00DF0A77" w:rsidP="00DF0A77">
      <w:pPr>
        <w:numPr>
          <w:ilvl w:val="0"/>
          <w:numId w:val="1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для выявления поражения белого вещества головного мозга, ишемических очагов у пациентов с БФ проводить МРТ головного мозга при установлении диагноза и не реже 1 раза в год в случае, если изменения были выявлены до начала ФЗТ или 1 раз в 36 месяцев, если изменения были выявлены после начала ФЗТ [26-29, 40].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В (уровень достоверности доказательств 3).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Комментарий: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 МРТ головного мозга у пациентов могут обнаруживаться ишемический инсульт, микрокровоизлияния и внутримозговые гематомы, изменения белого вещества (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лейкоареоз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) и серого вещества (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кальцификация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заднего таламуса), а также сосудистые мальформации, преимущественно представленные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долихоэктазиями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вертебробазилярной артерии. Эти изменения не являются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высокосцецифичными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для БФ, могут встречаться у пациентов с другой патологией.</w:t>
      </w:r>
    </w:p>
    <w:p w:rsidR="00DF0A77" w:rsidRPr="00DF0A77" w:rsidRDefault="00DF0A77" w:rsidP="00DF0A77">
      <w:pPr>
        <w:numPr>
          <w:ilvl w:val="0"/>
          <w:numId w:val="1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пациентам с БФ консультация врача-кардиолога не реже 1 раза в 6 месяцев и кардиологическое обследование, включающее эхокардиографию (при первичном обследовании и далее не реже 1 раза в 12 месяцев), 12-канальную ЭКГ (при первичном обследовании и далее не реже 1 раза в 12 месяцев),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холтеровское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мониторирование (при первичном обследовании и далее не реже 1 раза в 12 месяцев) для своевременного выявления и/или мониторинга кардиологических изменений [9, 11, 26 -29].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Комментарии: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Характерным признаком поражения сердца при БФ является гипертрофия левого желудочка, которая может быть выявлена с помощью ЭКГ, эхокардиографии и магнитно-резонансной томографии. Для оценки функции сердца применяют тканевую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допплерэхокардиографию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(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допплер-ЭхоКГ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), результаты которой могут иметь важное значение в диагностике бессимптомного поражения сердца.</w:t>
      </w:r>
    </w:p>
    <w:p w:rsidR="00DF0A77" w:rsidRPr="00DF0A77" w:rsidRDefault="00DF0A77" w:rsidP="00DF0A77">
      <w:pPr>
        <w:numPr>
          <w:ilvl w:val="0"/>
          <w:numId w:val="15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пациентам с БФ в кардиологическое обследование также включать МРТ сердца (при первичном обследовании и далее не реже 1 раза в 12 месяцев) для своевременного выявления и/или мониторинга кардиологических изменений [9, 11, 26 -29, 41].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А (уровень достоверности доказательств 1).</w:t>
      </w:r>
    </w:p>
    <w:p w:rsidR="00DF0A77" w:rsidRPr="00DF0A77" w:rsidRDefault="00DF0A77" w:rsidP="00DF0A77">
      <w:pPr>
        <w:numPr>
          <w:ilvl w:val="0"/>
          <w:numId w:val="1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всем пациентам с БФ осмотр врачом-офтальмологом (при первичном обследовании и далее не реже 1 раза в 3 года), включающий исследование переднего сегмента глаза методом бокового освещения, определение дефектов поверхности роговицы и обследование глазного дна (офтальмоскопии) с целью выявления помутнения роговицы и другой глазной патологии [1, 15, 26-29, 42].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В (уровень достоверности доказательств 3).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Комментарии</w:t>
      </w: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: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 помощью</w:t>
      </w:r>
      <w:proofErr w:type="gram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щелевой лампы выявляют помутнение роговицы в виде завитков. Сходные изменения роговицы наблюдаются при употреблении лекарств из группы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хлорохинов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или амиодарона. При обследовании глазного дна зачастую наблюдается задняя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субкапсулярная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катаракта и поражение сосудов сетчатки, что может привести к тяжелой потере зрения.</w:t>
      </w:r>
    </w:p>
    <w:p w:rsidR="00DF0A77" w:rsidRPr="00DF0A77" w:rsidRDefault="00DF0A77" w:rsidP="00DF0A77">
      <w:pPr>
        <w:numPr>
          <w:ilvl w:val="0"/>
          <w:numId w:val="17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пациентам с БФ в возрасте старше 5 лет тональная аудиометрия обследование при первичном осмотре и далее не реже 1 раза в 3 года с целью раннего выявления нарушений слуха [26-29].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2.5 Иные диагностические исследования</w:t>
      </w:r>
    </w:p>
    <w:p w:rsidR="00DF0A77" w:rsidRPr="00DF0A77" w:rsidRDefault="00DF0A77" w:rsidP="00DF0A77">
      <w:pPr>
        <w:numPr>
          <w:ilvl w:val="0"/>
          <w:numId w:val="18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Рекомендована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 консультация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врача-педиатра   детям с установленным диагнозом БФ если они не проводилось в предшествующие 6 месяцев для оценки общего состояния здоровья и определения тактики дальнейшей терапии [26-29].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numPr>
          <w:ilvl w:val="0"/>
          <w:numId w:val="19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консультация врача-терапевта для пациента старше 18 лет с установленным диагнозом БФ если они не проводилось в предшествующие 6 месяцев для оценки общего состояния здоровья и определения тактики дальнейшей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терапии[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26-29].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3. Лечение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Для патогенетического лечения БФ разработана ферментная заместительная терапия, но всем пациентам одновременно проводится симптоматическое лечение основных осложнений заболевания.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3.1 Патогенетическое лечение</w:t>
      </w:r>
    </w:p>
    <w:p w:rsidR="00DF0A77" w:rsidRPr="00DF0A77" w:rsidRDefault="00DF0A77" w:rsidP="00DF0A77">
      <w:pPr>
        <w:numPr>
          <w:ilvl w:val="0"/>
          <w:numId w:val="20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проведение ФЗТ всем пациентам мужского пола после верификации диагноза лабораторными методами. ФЗТ способствует снижению массы сердца и уменьшению накопления Gb3 в почках, тогда как влияние на поражение нервной системы установлено в меньшей степени [44, 46, 48].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А (уровень достоверности доказательств 1).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 Комментарии.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Критерии назначения ФЗТ приведены в приложении Г3. В Российской Федерации зарегистрировано 2 препарата для ФЗТ БФ –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агалсидаза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альфа** и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агалсидаза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бета**.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Агалсидаза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альфа** и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агалсидаза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бета** были зарегистрированы в мире на основании результатов рандомизированных, плацебо-контролируемых исследований, в которых заместительная терапия уменьшала выраженность невропатической боли, вызывала регресс гипертрофии левого желудочка и стабилизацию функции почек, задерживала развитие почечной и сердечно-сосудистой недостаточности по сравнению с плацебо. По данным систематизированного обзора литературы, эффективность заместительной терапии изучалась по крайней мере в 48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проспективных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исследованиях (контролируемых или наблюдательных). В 22 из них применяли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агалсидазу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альфа**, в 22 –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агалсидазу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бета**, а в 4 исследованиях были обобщены результаты применения обоих препаратов [19-22]. В целом результаты этих исследований подтвердили благоприятный эффект ФЗТ на функцию сердца и почек, невропатическую боль и качество жизни пациентов, улучшение слуха и вестибулярной функции.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В настоящее время исследований, в которых в ходе прямых сравнений были бы получены убедительные доказательства преимущества (или отсутствия таковых) применения одного из ферментов, нет [50].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Агалсидазу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альфа** вводят внутривенно в дозе 0,2 мг/кг один раз в две недели, </w:t>
      </w:r>
      <w:proofErr w:type="spellStart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агалсидазу</w:t>
      </w:r>
      <w:proofErr w:type="spellEnd"/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бета** – внутривенно в дозе 1,0 мг/кг один раз в две недели. Подробно приготовление растворов для введения описано в инструкции к препаратам. Первые введения препаратов должны быть сделаны в условиях стационара. Оба препарата не содержат консервантов и подлежат немедленному введению после приготовления раствора для инфузии.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 случае непереносимости (развитии серьезных нежелательных побочных реакций), возможен переход с одного препарата на другой. Решение о замене лекарственного средства принимается консилиумом специалистов, а пациент или его законные представители должны быть проинформированы о причине замены препарата и дальнейшей тактике ведения.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Введение ФЗТ проводится регулярно при наличии показаний; в случае осложненного течения болезни - в условиях круглосуточного стационара, в стабильном состоянии – в стационаре дневного пребывания или амбулаторно 1 раз в 2 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недели. Следует обращать внимание на соблюдение интервалов между инфузиями и недопустимость перерывов в терапии, т.к. нарушение режима лечения сопровождается потенциальным риском ухудшения состояния пациента и прогрессирования симптомов БФ. Все пациенты с БФ должны проходить контрольные обследования (мониторинг) с целью оценки эффективности лечения.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Побочные эффекты. Переносимость ФЗТ обычно хорошая. Основными нежелательными эффектами могут быть реакции на введение препарата (озноб, лихорадка, тошнота, тахикардия, зуд, миалгия, боли в конечностях, головная боль, боль в груди), в основном легкие или умеренно выраженные.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 случае развития тяжелых реакций повышенной чувствительности или анафилактических реакций необходимо немедленно прекратить инфузию и начать терапию с соблюдением современных стандартов оказания неотложной медицинской помощи.</w:t>
      </w:r>
    </w:p>
    <w:p w:rsidR="00DF0A77" w:rsidRPr="00DF0A77" w:rsidRDefault="00DF0A77" w:rsidP="00DF0A77">
      <w:pPr>
        <w:numPr>
          <w:ilvl w:val="0"/>
          <w:numId w:val="21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 лиц мужского пола с классической формой БФ ФЗТ начинать с момента установления диагноза [26,45, 46, 48].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A (уровень достоверности доказательств 3).</w:t>
      </w:r>
    </w:p>
    <w:p w:rsidR="00DF0A77" w:rsidRPr="00DF0A77" w:rsidRDefault="00DF0A77" w:rsidP="00DF0A77">
      <w:pPr>
        <w:numPr>
          <w:ilvl w:val="0"/>
          <w:numId w:val="22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женщинам с БФ начинать ФЗТ при наличии следующих клинических проявлений заболевания, снижающих качество жизни и/или, признаки прогрессирующего поражения органов-мишеней: кризы Фабри и/или резистентная к стандартной терапии рецидивирующая или хроническая невропатическая боль в кистях и стопах и\или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персистирующая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протеинурия и\или снижение скорости клубочковой фильтрации &lt;80 мл/мин/1,73 м2 и\или поражение сердца и\или нарушения мозгового кровообращения и\или ишемические изменения головного мозга, выявленные при МРТ [47,48].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А (уровень достоверности доказательств 3).</w:t>
      </w:r>
    </w:p>
    <w:p w:rsidR="00DF0A77" w:rsidRPr="00DF0A77" w:rsidRDefault="00DF0A77" w:rsidP="00DF0A77">
      <w:pPr>
        <w:numPr>
          <w:ilvl w:val="0"/>
          <w:numId w:val="2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Не рекомендовано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пациентам с БФ проведение ФЗТ в следующих случаях: беременность и период кормления грудью; присутствие другого опасного для жизни заболевания, при котором прогноз вряд ли будет улучшен с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помощью ФЗТ; у которых имеются очень серьезные осложнения (например, тяжелый инсульт, реанимационные пациенты)[48].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Комментарии.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Критерии отмены ФЗТ приведены в приложение Г4. Эксперты считают, что отменять лечение у пациентов с тяжелой почечной недостаточностью (СКФ &lt;45 мл/мин/1,73 м2 с коррекцией по возрасту (&gt; 40 лет: –1 мл/мин/1,73 м2/год)) не следует. Аналогично, не следует отменять лечение у пациентов на диализе, даже если они не подходят для трансплантации почки, и у пациентов со снижением когнитивных функций любой этиологии. Начало и продолжение ФЗТ у таких пациентов должно рассматриваться в индивидуальном порядке.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3.2  Симптоматическая</w:t>
      </w:r>
      <w:proofErr w:type="gramEnd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 xml:space="preserve"> терапия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По симптоматической терапии БФ нет рандомизированных контролируемых исследований. В публикациях приведены рекомендации, которые отражают экспертное мнение специалистов из разных стран и опыт лечения разных когорт пациентов в разных клиниках. Применение большинства препаратов для терапии невропатической боли для детей и взрослых, проводится «вне инструкции», поэтому не представлены в виде тезиса-рекомендации. Однако, препараты могут быть назначены пациентам по решению врачебной комиссии [35, 51]. У пациентов с хронической невропатической болью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акропарестезиями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следует по возможности устранить факторы, провоцирующие появление боли, например, большие физические нагрузки, эмоциональный стресс, изменение температуры.</w:t>
      </w:r>
    </w:p>
    <w:p w:rsidR="00DF0A77" w:rsidRPr="00DF0A77" w:rsidRDefault="00DF0A77" w:rsidP="00DF0A77">
      <w:pPr>
        <w:numPr>
          <w:ilvl w:val="0"/>
          <w:numId w:val="2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пациентам с БФ и с диспепсией назначение препаратов группы блокаторов H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bdr w:val="none" w:sz="0" w:space="0" w:color="auto" w:frame="1"/>
          <w:vertAlign w:val="subscript"/>
          <w:lang w:eastAsia="ru-RU"/>
        </w:rPr>
        <w:t>2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-гистаминовых рецепторов или ингибиторов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протонового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насоса [26-29].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numPr>
          <w:ilvl w:val="0"/>
          <w:numId w:val="25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у пациентов с БФ для уменьшения протеинурии и лечения артериальной гипертонии применять ингибиторы АПФ и блокаторы рецепторов ангиотензина II, обладающими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нефропротективными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свойствами [26-29].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numPr>
          <w:ilvl w:val="0"/>
          <w:numId w:val="2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у пациентов с БФ при фибрилляции предсердий проводить антикоагулянтную терапию B01AA03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Варфарином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** [26-29].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5).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3.3 Хирургическое лечение</w:t>
      </w:r>
    </w:p>
    <w:p w:rsidR="00DF0A77" w:rsidRPr="00DF0A77" w:rsidRDefault="00DF0A77" w:rsidP="00DF0A77">
      <w:pPr>
        <w:numPr>
          <w:ilvl w:val="0"/>
          <w:numId w:val="27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в случае развития терминальной почечной недостаточности у пациентов с БФ лечение гемодиализом и/или трансплантацию почки [26-29, 52].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Уровень убедительности рекомендации – С (уровень достоверности доказательств 4).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Комментарии: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трансплантация почек пациентам с БФ при развитии терминальной почечной недостаточности проводится в соответствии с методическими рекомендациями «Трансплантация почки» ID: МР34 (http://cr.rosminzdrav.ru/).</w:t>
      </w:r>
    </w:p>
    <w:p w:rsidR="00DF0A77" w:rsidRPr="00DF0A77" w:rsidRDefault="00DF0A77" w:rsidP="00DF0A77">
      <w:pPr>
        <w:numPr>
          <w:ilvl w:val="0"/>
          <w:numId w:val="28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пациентам с БФ с </w:t>
      </w:r>
      <w:proofErr w:type="spellStart"/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атрио-вентрикулярной</w:t>
      </w:r>
      <w:proofErr w:type="spellEnd"/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блокадой имплантация водителя ритма, а при наличии угрожающих жизни аритмий –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кардиовертера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-дефибриллятора в соответствии с разработанными клиническими рекомендациями для лечения данной патологии [53].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Уровень убедительности рекомендации – С (уровень достоверности доказательств 4).</w:t>
      </w:r>
    </w:p>
    <w:p w:rsidR="00DF0A77" w:rsidRPr="00DF0A77" w:rsidRDefault="00DF0A77" w:rsidP="00DF0A77">
      <w:pPr>
        <w:numPr>
          <w:ilvl w:val="0"/>
          <w:numId w:val="29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по желанию пациента с БФ удаление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с помощью аргонового лазера [54].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Уровень убедительности рекомендации – С (уровень достоверности доказательств 4).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4. Реабилитация</w:t>
      </w:r>
    </w:p>
    <w:p w:rsidR="00DF0A77" w:rsidRPr="00DF0A77" w:rsidRDefault="00DF0A77" w:rsidP="00DF0A77">
      <w:pPr>
        <w:numPr>
          <w:ilvl w:val="0"/>
          <w:numId w:val="30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для пациентов с БФ с выраженным болевым синдромом и склонности к психоэмоциональным расстройства оказание регулярной психологической помощи [1,27, 55].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Уровень убедительности рекомендации – В (уровень достоверности доказательств 3).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5. Профилактика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Пациенты с БФ нуждаются в постоянном контроле состояния различных систем органов и наблюдении врачей разны специальностей. Примерный план обследования пациентов с БФ приведен в Приложении Г5, но в сроки и объём исследований лечащим врачом могут быть внесены коррективы с учетом особенностей течения заболевания у конкретного пациента.</w:t>
      </w:r>
    </w:p>
    <w:p w:rsidR="00DF0A77" w:rsidRPr="00DF0A77" w:rsidRDefault="00DF0A77" w:rsidP="00DF0A77">
      <w:pPr>
        <w:numPr>
          <w:ilvl w:val="0"/>
          <w:numId w:val="31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после установления диагноза пациенту с БФ или его официальным представителям, консультация врача-генетика с целью расчета генетического риска в семье, анализа родословной и обсуждения возможностей пренатальной диагностики [28, 56].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4).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Комментарии: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Гемизиготные мужчины имеют единственную мутантную Х-хромосому, что определяет классический фенотип болезни. Они передают мутантную хромосому только своим дочерям, но не сыновьям. Таким образом дочери больных БФ отцов имеют одну нормальную и одну мутантную хромосому, т.е. являются гетерозиготами. В отличии от других Х-сцепленных заболеваний было показано, что у части гетерозиготных женщины с мутацией гена GLA развиваются тяжелые проявления БФ, требующие медицинской помощи и вмешательства. Механизм, посредством которого у гетерозиготных женщин развиваются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жизнеугрожающие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симптомы, не до конца известен. У большинства из них имеется почти нормальный уровень циркулирующего фермента за счет того, что случайный процесс инактивации Х-хромосомы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лайонизация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) приводит к образованию как дефицитных, так и нормальных клеток.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Учитывая тип наследования данного заболевания (Х-сцепленный) для каждой последующей беременности:</w:t>
      </w:r>
    </w:p>
    <w:p w:rsidR="00DF0A77" w:rsidRPr="00DF0A77" w:rsidRDefault="00DF0A77" w:rsidP="00DF0A77">
      <w:pPr>
        <w:numPr>
          <w:ilvl w:val="0"/>
          <w:numId w:val="32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 женщины-носительницы мутации риск рождения больного мальчика составляет 50%, риск рождения девочки-носительницы мутации – 50%;</w:t>
      </w:r>
    </w:p>
    <w:p w:rsidR="00DF0A77" w:rsidRPr="00DF0A77" w:rsidRDefault="00DF0A77" w:rsidP="00DF0A77">
      <w:pPr>
        <w:numPr>
          <w:ilvl w:val="0"/>
          <w:numId w:val="32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 мужчины-носителя мутации риск рождения девочки-носительницы мутации – 100%.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В семьях, где есть пациенты с установленной мутацией, существует возможность проведения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преимплантационной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и пренатальной диагностики. Пренатальная диагностика возможна путем измерения активности АГАЛ в клетках ворсин хориона, а также методами прямой или косвенной ДНК-диагностики для семей с известным генотипом.</w:t>
      </w:r>
    </w:p>
    <w:p w:rsidR="00DF0A77" w:rsidRPr="00DF0A77" w:rsidRDefault="00DF0A77" w:rsidP="00DF0A77">
      <w:pPr>
        <w:numPr>
          <w:ilvl w:val="0"/>
          <w:numId w:val="3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 пациентов с БФ для профилактики инсульта длительная терапия ацетилсалициловой кислотой, прежде всего при наличии дополнительных факторов риска (пожилой возраст, транзиторная ишемическая атака в анамнезе, артериальная гипертония, аритмии) [36, 43, 57].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Уровень убедительности рекомендации – С (уровень достоверности доказательств 4).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Организация оказания медицинской помощи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Показания для плановой госпитализации в медицинскую организацию:</w:t>
      </w:r>
    </w:p>
    <w:p w:rsidR="00DF0A77" w:rsidRPr="00DF0A77" w:rsidRDefault="00DF0A77" w:rsidP="00DF0A77">
      <w:pPr>
        <w:numPr>
          <w:ilvl w:val="0"/>
          <w:numId w:val="3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Проведение диагностики и лечения, требующие круглосуточного медицинского наблюдения;</w:t>
      </w:r>
    </w:p>
    <w:p w:rsidR="00DF0A77" w:rsidRPr="00DF0A77" w:rsidRDefault="00DF0A77" w:rsidP="00DF0A77">
      <w:pPr>
        <w:numPr>
          <w:ilvl w:val="0"/>
          <w:numId w:val="3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Состояние, требующее активного лечения и круглосуточного медицинского наблюдения;</w:t>
      </w:r>
    </w:p>
    <w:p w:rsidR="00DF0A77" w:rsidRPr="00DF0A77" w:rsidRDefault="00DF0A77" w:rsidP="00DF0A77">
      <w:pPr>
        <w:numPr>
          <w:ilvl w:val="0"/>
          <w:numId w:val="3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Состояние, требующее проведения высокотехнологичных методов лечения (в том числе трансплантация органов, имплантация водителя ритма,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кардиовертера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-дефибриллятора);</w:t>
      </w:r>
    </w:p>
    <w:p w:rsidR="00DF0A77" w:rsidRPr="00DF0A77" w:rsidRDefault="00DF0A77" w:rsidP="00DF0A77">
      <w:pPr>
        <w:numPr>
          <w:ilvl w:val="0"/>
          <w:numId w:val="3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Отсутствие возможности обеспечения ФЗТ в амбулаторных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стационарозамещающих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условиях;</w:t>
      </w:r>
    </w:p>
    <w:p w:rsidR="00DF0A77" w:rsidRPr="00DF0A77" w:rsidRDefault="00DF0A77" w:rsidP="00DF0A77">
      <w:pPr>
        <w:numPr>
          <w:ilvl w:val="0"/>
          <w:numId w:val="3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Необходимость проведения различных видов экспертиз или обследования в медицинской организации при невозможности проведения их в амбулаторных условиях, требующих динамического наблюдения (в том числе оформление заключения федерального консилиума).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Показания к экстренной госпитализации в медицинскую организацию:</w:t>
      </w:r>
    </w:p>
    <w:p w:rsidR="00DF0A77" w:rsidRPr="00DF0A77" w:rsidRDefault="00DF0A77" w:rsidP="00DF0A77">
      <w:pPr>
        <w:numPr>
          <w:ilvl w:val="0"/>
          <w:numId w:val="35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Острые заболевания, обострения хронических болезней, отравления и травмы, состояния, требующие интенсивной терапии и перевода в реанимационные отделения или отделения интенсивной терапии (в том числе побочные реакции, происходящее или во время инфузии или в течение дня проведения инфузии ФЗТ и другие угрожающие жизни острые состояния), а также круглосуточного медицинского наблюдении и проведения специальных видов обследования и лечения.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Показания к выписке пациента из медицинской организации:</w:t>
      </w:r>
    </w:p>
    <w:p w:rsidR="00DF0A77" w:rsidRPr="00DF0A77" w:rsidRDefault="00DF0A77" w:rsidP="00DF0A77">
      <w:pPr>
        <w:numPr>
          <w:ilvl w:val="0"/>
          <w:numId w:val="3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Отсутствие угрозы жизни пациента;</w:t>
      </w:r>
    </w:p>
    <w:p w:rsidR="00DF0A77" w:rsidRPr="00DF0A77" w:rsidRDefault="00DF0A77" w:rsidP="00DF0A77">
      <w:pPr>
        <w:numPr>
          <w:ilvl w:val="0"/>
          <w:numId w:val="3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Отсутствие угрозы развития осложнений, требующих неотложного лечения;</w:t>
      </w:r>
    </w:p>
    <w:p w:rsidR="00DF0A77" w:rsidRPr="00DF0A77" w:rsidRDefault="00DF0A77" w:rsidP="00DF0A77">
      <w:pPr>
        <w:numPr>
          <w:ilvl w:val="0"/>
          <w:numId w:val="3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Стабилизация состояния и основных клинико-лабораторных показателей патологического процесса по основному заболеванию;</w:t>
      </w:r>
    </w:p>
    <w:p w:rsidR="00DF0A77" w:rsidRPr="00DF0A77" w:rsidRDefault="00DF0A77" w:rsidP="00DF0A77">
      <w:pPr>
        <w:numPr>
          <w:ilvl w:val="0"/>
          <w:numId w:val="3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Отсутствие необходимости в постоянном врачебном и круглосуточном медицинском наблюдении по основному заболеванию;</w:t>
      </w:r>
    </w:p>
    <w:p w:rsidR="00DF0A77" w:rsidRPr="00DF0A77" w:rsidRDefault="00DF0A77" w:rsidP="00DF0A77">
      <w:pPr>
        <w:numPr>
          <w:ilvl w:val="0"/>
          <w:numId w:val="36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Необходимости перевода пациента в другую больницу или учреждение социального обеспечения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6. Дополнительная информация, влияющая на течение и исход заболевания</w:t>
      </w:r>
    </w:p>
    <w:p w:rsidR="00DF0A77" w:rsidRPr="00DF0A77" w:rsidRDefault="00DF0A77" w:rsidP="00DF0A77">
      <w:pPr>
        <w:numPr>
          <w:ilvl w:val="0"/>
          <w:numId w:val="37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проведение семейного скрининга для родственников пациентов с БФ (проведение генетических исследований) с целью диагностики БФ на ранней стадии болезни [28].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Уровень убедительности рекомендации – В (уровень достоверности доказательств 4).</w:t>
      </w:r>
    </w:p>
    <w:p w:rsidR="00DF0A77" w:rsidRPr="00DF0A77" w:rsidRDefault="00DF0A77" w:rsidP="00DF0A77">
      <w:pPr>
        <w:numPr>
          <w:ilvl w:val="0"/>
          <w:numId w:val="38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Рекомендуется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проведения скрининга групп высокого риска (ранние инсульты, почечная недостаточность, гипертрофическая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кардиомиопатия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) с целью выявления пациентов с БФ [7,12,18].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Уровень убедительности рекомендации – В (уровень достоверности доказательств 4).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Критерии оценки качества медицинской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0112"/>
        <w:gridCol w:w="3580"/>
      </w:tblGrid>
      <w:tr w:rsidR="00DF0A77" w:rsidRPr="00DF0A77" w:rsidTr="00DF0A77">
        <w:trPr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Критерии качества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Оценка выполнения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Проведено определение активности АГАЛ в пятнах крови, высушенных на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фильтровальнои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̆ бумаге или в лейкоцитах крови всем пациентам мужского пола (в том числе и на доклинической стадии) для подтверждения диагноза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2.      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Проведено всем пациентам с клинической картиной БФ- определение концентрации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глоботриаозилсфингозина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(Lyso-GB3) в пятнах высушенной крови или плазме крови для биохимического подтверждения </w:t>
            </w:r>
            <w:proofErr w:type="gram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диагноза  и</w:t>
            </w:r>
            <w:proofErr w:type="gram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перед назначением ферментной заместительной терапии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3.      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Проведено молекулярно-генетического исследования для всех пациентов со сниженной активностью фермента АГАЛ и для лиц женского пола при клиническом подозрении на БФ и при наличии родственников с БФ в родословной: выявление мутаций в гене </w:t>
            </w:r>
            <w:r w:rsidRPr="00DF0A77">
              <w:rPr>
                <w:rFonts w:ascii="inherit" w:eastAsia="Times New Roman" w:hAnsi="inherit" w:cs="Times New Roman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GLA, </w:t>
            </w: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кодирующем АГАЛ для подтверждения диагноза на молекулярно-генетическом уровне у мужчин со сниженной активностью фермента и для женщин с клиническими признаками БФ или родственников пробанда по материнской линии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Назначена ферментная заместительная терапии с применением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агалсидазы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бета в дозе 1 мг/кг или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агалсидазы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альфа в дозе 0,2 мг/кг пациентам с установленным диагнозом БФ в виде в/в инфузии 1 раз в 2 недели (при наличии показаний)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Проведена консультация врача-генетика для семьи пациента с установленным диагнозом БФ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Проведена консультация-врача-педиатра   с установленным диагнозом БФ если они не проводилось в предшествующие 6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uto"/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Verdana" w:eastAsia="Times New Roman" w:hAnsi="Verdana" w:cs="Times New Roman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Проведена консультация врача-терапевта для пациента старше 18 лет с установленным диагнозом БФ если они не проводилось в предшествующие 6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8.      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Проведена консультация-врача-кардиолога для пациента с установленным диагнозом БФ если они не проводилось в предшествующие 6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9.      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Проведено эхокардиография при первичном обследовании и далее не реже 1 раза в 12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39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Проведено ЭКГ (12-канальная) при первичном обследовании </w:t>
            </w:r>
            <w:proofErr w:type="gram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  далее</w:t>
            </w:r>
            <w:proofErr w:type="gram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не реже 1 раза в 12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40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Проведено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холтеровское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мониторирование при первичном обследовании и далее не реже 1 раза в 12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41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Проведено МРТ сердца (при первичном обследовании и далее не реже 1 раза в 12 месяцев) для своевременного выявления и/или мониторинга кардиологических изменений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42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Проведено МРТ головного мозга при первичном обследовании и не реже 1 раза в год в случае, если изменения были выявлены до начала ФЗТ или не реже 1 раза в 36 месяцев, если изменения были выявлены после начала ФЗТ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43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Проведено исследования уровня белка в моче и измерение расчетной формулы СКФ при первичном обследовании и далее не реже 1 раза в 6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44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Проведены лабораторные исследования согласно клиническим рекомендациям по ведению пациентов с ХПН при наличии у пациента с БФ признаков поражения почек, если не проводилось в последние 6 месяцев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45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 осмотр врача-офтальмолога с исследованием глазного дна при первичном обследовании и если не проводилось последние 3 года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  <w:tr w:rsidR="00DF0A77" w:rsidRPr="00DF0A77" w:rsidTr="00DF0A77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numPr>
                <w:ilvl w:val="0"/>
                <w:numId w:val="46"/>
              </w:numPr>
              <w:spacing w:after="0" w:line="390" w:lineRule="atLeast"/>
              <w:ind w:left="300"/>
              <w:jc w:val="both"/>
              <w:textAlignment w:val="baseline"/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Проведена аудиометрия (для пациентов старше 5 лет) при первичном обследовании и если не проводилось последние 3 года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Да/нет</w:t>
            </w:r>
          </w:p>
        </w:tc>
      </w:tr>
    </w:tbl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br w:type="textWrapping" w:clear="all"/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Список литературы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Germain D.P. Fabry disease//Orphanet J Rare Dis. 2010.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V.22. P. 5-30.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Spada M., Pagliardini S. et al. High incidence of later-onset Fabry disease revealed by newborn screening// Am J Hum Genet.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2006. V.79. P. 31-40.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Hwu W.L., Chien Y.H. et al. Newborn screening for Fabry disease in Taiwan reveals a high incidence of the later-onset GLA mutation c.936+919G &gt; A (IVS4+919G &gt; A)// Hum Mutat.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2009. V.30. P.1397-1405.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Elstein D., Altarescu Gh. et al. Fabry disease// Springer Science &amp; Business Media.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2010.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lastRenderedPageBreak/>
        <w:t xml:space="preserve">Hopkin R.J., Bissler J. et al. Characterization of Fabry Disease in 352 Pediatric Patients in the Fabry Registry// Pediatr Res. 2008.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 64. P. 550-5.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Hoffmann B., Beck M. et al. Nature and prevalence of pain in Fabry disease and its response to enzyme replacement therapy–a retrospective analysis from the Fabry Outcome Survey// Clin J Pain. 2007.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V.23. P.535-42.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Sims K., Politei J. et al. Stroke in Fabry disease frequently occurs before diagnosis and in the absence of other clinical events: natural history data from the Fabry Registry// Stroke.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2009. V.40. P.788-94.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Mehta A., Clarke J.T. et al. Natural course of Fabry disease: changing pattern of causes of death in FOS - Fabry Outcome Survey//J Med Genet.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2009.V.46. P.548-52.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Ryan P. Morrissey. Cardiac abnormalities in Anderson-Fabry disease and Fabry’s cardiomyopathy// Cardiovasc J Afr. 2011.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 22. №1. P. 38–44.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Sakuraba H., Togawa T., Tsukimura T. et al. Plasma lyso-Gb3: a biomarker for monitoring Fabry patients during enzyme replacement therapy// Clin Exp Nephrol.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2018. V.22. №4. P. 843-9.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Schiffmann R., Warnock D.G. et al. Fabry disease: progression of nephropathy, and prevalence of cardiac and cerebrovascular events before enzyme replacement therapy// Nephrol Dial Transplant.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2009. V.24. №7. P. 2102–2111.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Linhart A., Kampmann C., Zamorano J.L. et al. Cardiac manifestations of Anderson-Fabry disease: results from the international Fabry outcome survey// Eur Heart J. 2007.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V.28. P.1228–1235.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Weidemann F., Breunig F., Beer M. et al. The variation of morphological and functional cardiac manifestation in Fabry disease: potential implications for the time course of the disease// Eur Heart J. 2005.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 26. P.1221–7.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Gupta S., Ries M. et al. The relationship of vascular glycolipid storage to clinical manifestations of Fabry disease: a cross-sectional study of a large cohort of clinically affected heterozygous women// Medicine (Baltimore).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2005. V.84. №5. P. 261-8.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Cordeiro C.A., Oréfice F. et al. Córnea verticilata - marcador clínico da doença de Fabry: relato de caso// Arq Bras Oftalmol.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2007. V.70. №4. P.701-5. 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lastRenderedPageBreak/>
        <w:t xml:space="preserve">Mayes J.S., Scheerer J.B. et al. Differential assay for lysosomal alpha-galactosidases in human tissues and its application to Fabry’s disease// Clin Chim Acta. 1981.V. 112.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P.247-251.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Linthorst G.E., Vedder A.C., Aerts J.M., Hollak C.E. Screening for Fabry disease using whole blood spots fails to identify one-third of female carriers// Clin Chim Acta. 2005.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V.353. P.201-3.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Linthorst G.E., Bouwman M.G., Wijburg F.A.et al. Screening for Fabry disease in high-risk populations: a systematic review//Journal of Medical Genetics.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2010. V.47. P.217-22.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Keating G.M. Agalsidase alfa: a review of its use in the management of Fabry disease// BioDrugs.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2012. V.26. №5. P.335-54.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Keating G.M., Simpson D. Agalsidase Beta: a review of its use in the management of Fabry disease// Drugs.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2007. V.67. №3. P.435-55.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Schiffmann R. Agalsidase treatment for Fabry 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disease: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 uses and rivalries// Genet Med. 2010.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V.12. №11. P.684-5.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Banikazemi M., Bultas J. Agalsidase-beta therapy for advanced Fabry disease: a randomized trial//Ann Intern Med. 2007.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V.146. №2. P.77-86.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Tøndel C., Bostad L. et al. Agalsidase benefits renal histology in young patients with Fabry disease// J Am Soc Nephrol.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2013. V.24. №1. P.137-48.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Warnock D.G., Ortiz A. et al. Renal outcomes of agalsidase beta treatment for Fabry disease: role of proteinuria and timing of treatment initiation// Nephrol Dial Transplant.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2012.V. 27. №3. P.1042-9.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Bénichou B., Goyal S. A retrospective analysis of the potential impact of IgG antibodies to agalsidase beta on efficacy during enzyme replacement therapy for Fabry disease// Mol Genet Metab.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2009. V.96. №1. P.4-12.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Ortiz A., Germain D.P., Desnick R.J. et al. Fabry disease revisited: Management and treatment recommendations for adult patients// Molecular Genetics and Metabolism.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2018. V.123. №4. P. 416-27.</w:t>
      </w:r>
    </w:p>
    <w:p w:rsidR="00DF0A77" w:rsidRPr="00DF0A77" w:rsidRDefault="00DF0A77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Mehta A., West M.L. Therapeutic goals in the treatment of Fabry disease// </w:t>
      </w:r>
      <w:r w:rsidR="00657319">
        <w:fldChar w:fldCharType="begin"/>
      </w:r>
      <w:r w:rsidR="00657319" w:rsidRPr="00657319">
        <w:rPr>
          <w:lang w:val="en-US"/>
        </w:rPr>
        <w:instrText xml:space="preserve"> HYPERLINK "http://www.ncbi.nlm.nih.gov/pubmed/?term=Genet+Med.+2010+Nov%3B12(11)%3A713-20" </w:instrText>
      </w:r>
      <w:r w:rsidR="00657319">
        <w:fldChar w:fldCharType="separate"/>
      </w:r>
      <w:r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Genet Med. 2010. </w:t>
      </w:r>
      <w:r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V.12. №11. P.713-20.</w:t>
      </w:r>
      <w:r w:rsidR="00657319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"http://www.ncbi.nlm.nih.gov/pubmed/?term=Genet+Med.+2010+Nov%3B12(11)%3A713-20"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Laney D.A., Bennett R.L., Clarke V. et al. Fabry disease practice guidelines: recommendations of the National Society of Genetic Counselors// J Genet Couns.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2013. V.22. №5. P.555-64.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lastRenderedPageBreak/>
        <w:fldChar w:fldCharType="begin"/>
      </w:r>
      <w:r w:rsidRPr="00657319">
        <w:rPr>
          <w:lang w:val="en-US"/>
        </w:rPr>
        <w:instrText xml:space="preserve"> HYPERLINK "http://www.ncbi.nlm.nih.gov/pubmed/?term=Genet+Med.+2010+Nov%3B12(11)%3A713-20"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Desnick R.J., Brady R., Barranger J. et al. Fabry disease, an under-recognized multisystemic disorder: expert recommendations for diagnosis, management, and enzyme replacement therapy// Ann Intern Med. 2003.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V.138. №4. P.338-46.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</w:instrText>
      </w:r>
      <w:r w:rsidRPr="00657319">
        <w:rPr>
          <w:lang w:val="en-US"/>
        </w:rPr>
        <w:instrText xml:space="preserve">ih.gov/pubmed/?term=Genet+Med.+2010+Nov%3B12(11)%3A713-20"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Polo G., Burlina A., Ranieri E. et al. Plasma and dried blood spot lysosphingolipids for the diagnosis of different sphingolipidoses: a comparative study// Clinical Chemistry and Laboratory Medicine (CCLM).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2019. V.57. №12. P.1863-74.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"http://www.ncbi.nlm.nih.gov/pubmed/?term=Genet+Med.+2010+Nov%3B12(11)%3A713-20"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Mariëlle J. van Breemen et al. Reduction of elevated plasma globotriaosylsphingosine in patients with classic Fabry disease following enzyme replacement therapy// Biochimica et Biophysica Acta. 2011.V.1812.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P. 70–76.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"http://www.ncbi.nlm.nih.gov/pubmed/?term=Genet+Med.+2010+Nov%3B12(11)%3A713-20"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Lenders M., Canaan-Kühl S. et al. Patients with Fabry Disease after Enzyme Replacement Therapy Dose Reduction and Switch–2-Year Follow-Up// J Am Soc Nephrol.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2016. V.27. P. 952–962.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"http://www.ncbi.nlm.nih.gov/pubmed/?term=Genet+Med.+2010+Nov%3B12(11)%3A713-20"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>Goker-Alpan O., Gambello M. J. et al. Reduction of Plasma Globotriaosylsphingosine Levels After Switching from Agalsidase Alfa to Agalsidase Beta as Enzyme Replacement Therapy for Fabry Disease// 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fldChar w:fldCharType="end"/>
      </w:r>
      <w:r>
        <w:fldChar w:fldCharType="begin"/>
      </w:r>
      <w:r w:rsidRPr="00657319">
        <w:rPr>
          <w:lang w:val="en-US"/>
        </w:rPr>
        <w:instrText xml:space="preserve"> HYPERLINK "http://www.ncbi.nlm.nih.gov/pubmed/26303609"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JIMD Rep. 2015.V.25.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P. 95-106.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</w:instrText>
      </w:r>
      <w:r w:rsidRPr="00657319">
        <w:rPr>
          <w:lang w:val="en-US"/>
        </w:rPr>
        <w:instrText xml:space="preserve">"http://www.ncbi.nlm.nih.gov/pubmed/?term=Beck%20M%5BAuthor%5D&amp;cauthor=true&amp;cauthor_uid=26937390"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>Beck M., 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fldChar w:fldCharType="end"/>
      </w:r>
      <w:r>
        <w:fldChar w:fldCharType="begin"/>
      </w:r>
      <w:r w:rsidRPr="00657319">
        <w:rPr>
          <w:lang w:val="en-US"/>
        </w:rPr>
        <w:instrText xml:space="preserve"> HYPERLINK "http://www.ncbi.nlm.nih.gov/pubmed/?term=Hughes%20D%5BAuthor%5D&amp;cauthor=true&amp;cauthor_uid=26937390"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>Hughes D. et al. Long-term effectiveness of agalsidase alfa enzyme replacement in Fabry disease: A Fabry Outcome Survey analysis// 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fldChar w:fldCharType="end"/>
      </w: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Mol Genet Metab Rep. 2015.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V.3. P.21-7.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Politei J.M., Bouhassira D., Germain D.P. et al. Pain in Fabry disease: practical recommendations for diagnosis and treatment// CNS Neuroscience and therapeutics.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2016. V.22. P. 568-576.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Shi Q., Chen J., Pongmoragot J. et al. Prevalence of Fabry disease in stroke patients – a systematic review and meta-analysis// J. Stroke cerebrovasc. </w:t>
      </w:r>
      <w:proofErr w:type="spellStart"/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Dis</w:t>
      </w:r>
      <w:proofErr w:type="spellEnd"/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. 2014.V. 23. №5. P.985-92.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</w:instrText>
      </w:r>
      <w:r w:rsidRPr="00657319">
        <w:rPr>
          <w:lang w:val="en-US"/>
        </w:rPr>
        <w:instrText xml:space="preserve">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Fuller M. et al. Immunoquantification of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α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-galactosidase: evaluation for the diagnosis of Fabry disease //Clinical chemistry.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2004. V.50.  №.11. P.1979-85.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</w:instrText>
      </w:r>
      <w:r w:rsidRPr="00657319">
        <w:rPr>
          <w:lang w:val="en-US"/>
        </w:rPr>
        <w:instrText xml:space="preserve">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Kramer J., Weidemann F. Biomarkers for diagnosing and staging of Fabry disease //Current medicinal chemistry. 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2018. V. 25. №13. P.1530-7.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Rombach S. M. et al. The value of estimated GFR in comparison to measured GFR for the assessment of renal function in adult patients with Fabry disease //Nephrology Dialysis Transplantation.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2010. V. 25.  № 8. P. 2549-56.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lastRenderedPageBreak/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Körver S. et al. Development and clinical consequences of white matter lesions in Fabry disease: a systematic review //Molecular genetics and metabolism.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2018. V. 125.  № 3. P. 205-216.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van den Boomen M. et al. Native T1 reference values for nonischemic cardiomyopathies and populations with increased cardiovascular risk: A systematic review and meta‐analysis //Journal of Magnetic Resonance Imaging.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2018. V. 47. № 4. P. 891-912.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</w:instrText>
      </w:r>
      <w:r w:rsidRPr="00657319">
        <w:rPr>
          <w:lang w:val="en-US"/>
        </w:rPr>
        <w:instrText xml:space="preserve">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Van der Tol L., Sminia M. L., Hollak C. E. M., Biegstraaten M. Cornea verticillata supports a diagnosis of Fabry disease in non-classical phenotypes: results from the Dutch cohort and a systematic review// British Journal of Ophthalmology.2015.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V.100. №1. P. 3–8. doi:10.1136/bjophthalmol-2014-306433 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>Mohr J.P. Stroke: pathophysiology, diagnosis and management// Elsevier, sixth edition, 2016.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Alegra T., Vairo F., de Souza M.V. et al., Enzyme replacement therapy for Fabry disease: A systematic review and meta-analysis// Genet Mol Biol. 2012.V.35.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P.947-54.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</w:instrText>
      </w:r>
      <w:r w:rsidRPr="00657319">
        <w:rPr>
          <w:lang w:val="en-US"/>
        </w:rPr>
        <w:instrText xml:space="preserve">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Spada M., Baron R., Elliott P.M. et al. The effect of enzyme replacement therapy on clinical outcomes in paediatric patients with Fabry disease - A systematic literature review by a European panel of experts// Mol Genet Metab.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2019. V.126. №</w:t>
      </w:r>
      <w:proofErr w:type="gramStart"/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3.P.</w:t>
      </w:r>
      <w:proofErr w:type="gramEnd"/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212-23.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Germain D.P., Elliott P.M., Falissard B. et al. The effect of enzyme replacement therapy on clinical outcomes in male patients with Fabry disease: A systematic literature review by a European panel of experts// Mol Genet Metab Rep. 2019.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V.19. P.100454.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Germain D.P., Arad M., Burlina A. et al. The effect of enzyme replacement therapy on clinical outcomes in female patients with Fabry disease - A systematic literature review by a European panel of experts// Mol Genet Metab.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2018. V.126. №</w:t>
      </w:r>
      <w:proofErr w:type="gramStart"/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3.P.</w:t>
      </w:r>
      <w:proofErr w:type="gramEnd"/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224-35.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Biegstraaten M. et al. Recommendations for initiation and cessation of enzyme replacement therapy in patients with Fabry disease: the European Fabry Working Group consensus document// Orphanet J Rare Dis. 2015.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V.10. P.36.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</w:instrText>
      </w:r>
      <w:r w:rsidRPr="00657319">
        <w:rPr>
          <w:lang w:val="en-US"/>
        </w:rPr>
        <w:instrText xml:space="preserve">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Ramaswami U., Whybra C., Parini R. et al. FOS European Investigators. Clinical manifestations of Fabry disease in children: data from the Fabry Outcome Survey//Acta Paediatr.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2006. V.95. №1. P.86–92.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lastRenderedPageBreak/>
        <w:fldChar w:fldCharType="begin"/>
      </w:r>
      <w:r w:rsidRPr="00657319">
        <w:rPr>
          <w:lang w:val="en-US"/>
        </w:rPr>
        <w:instrText xml:space="preserve"> HYPERLINK "http://www.ncbi</w:instrText>
      </w:r>
      <w:r w:rsidRPr="00657319">
        <w:rPr>
          <w:lang w:val="en-US"/>
        </w:rPr>
        <w:instrText xml:space="preserve">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El Dib R., Gomaa H., Ortiz A. et.al. Enzyme replacement therapy for Anderson-Fabry disease: A complementary overview of a Cochrane publication through a linear regression and a pooled analysis of proportions from cohort studies// PLoS ONE. 2017.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V.12. №3. P. e0173358.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Schuller Y. et al. Pain management strategies for neuropathic pain in Fabry disease-a systematic review //BMC neurology.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2016. V.16. №1. P. 25.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</w:instrText>
      </w:r>
      <w:r w:rsidRPr="00657319">
        <w:rPr>
          <w:lang w:val="en-US"/>
        </w:rPr>
        <w:instrText xml:space="preserve">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Ersözlü S. et al. Long-Term Outcomes of Kidney Transplantation in Fabry Disease //Transplantation.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2018. V. 102. № 11. P. 1924-33.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Di L. Z. et al. Severe bradyarrhythmia linked to left atrial dysfunction in Fabry disease—A cross‐sectional study //Clinical cardiology. 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2018. V. 41. №. 9. P. 1207-13.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Morais P. et al. Angiokeratomas of Fabry successfully treated with intense pulsed light //Journal of Cosmetic and Laser Therapy.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2008. V. 10. №4. P. 218-22.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</w:instrText>
      </w:r>
      <w:r w:rsidRPr="00657319">
        <w:rPr>
          <w:lang w:val="en-US"/>
        </w:rPr>
        <w:instrText xml:space="preserve">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Bolsover F. E. et al. Cognitive dysfunction and depression in Fabry disease: a systematic review //Journal of inherited metabolic disease. 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2014. V. 37. № 2. P. 177-87.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Favalli V. et al. Genetic screening of Anderson-Fabry disease in probands referred from multispecialty clinics //Journal of the American College of Cardiology. 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2016. V. 68.  № 10. P. 1037-50.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numPr>
          <w:ilvl w:val="0"/>
          <w:numId w:val="47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>
        <w:fldChar w:fldCharType="begin"/>
      </w:r>
      <w:r w:rsidRPr="00657319">
        <w:rPr>
          <w:lang w:val="en-US"/>
        </w:rPr>
        <w:instrText xml:space="preserve"> HYPERLINK "http://www.ncbi.nlm.nih.gov/pubmed/26937390" </w:instrText>
      </w:r>
      <w:r>
        <w:fldChar w:fldCharType="separate"/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val="en-US" w:eastAsia="ru-RU"/>
        </w:rPr>
        <w:t xml:space="preserve">Sirrs M. et al. Outcomes of patients treated through the Canadian Fabry disease initiative //Molecular genetics and metabolism. </w:t>
      </w:r>
      <w:r w:rsidR="00DF0A77" w:rsidRPr="00DF0A77"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2014. V. 111.  № 4. P. 499-506.</w:t>
      </w:r>
      <w:r>
        <w:rPr>
          <w:rFonts w:ascii="inherit" w:eastAsia="Times New Roman" w:hAnsi="inherit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fldChar w:fldCharType="end"/>
      </w:r>
    </w:p>
    <w:p w:rsidR="00DF0A77" w:rsidRPr="00DF0A77" w:rsidRDefault="00657319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hyperlink r:id="rId23" w:history="1">
        <w:r w:rsidR="00DF0A77" w:rsidRPr="00DF0A77">
          <w:rPr>
            <w:rFonts w:ascii="inherit" w:eastAsia="Times New Roman" w:hAnsi="inherit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 </w:t>
        </w:r>
      </w:hyperlink>
    </w:p>
    <w:p w:rsidR="00DF0A77" w:rsidRPr="00DF0A77" w:rsidRDefault="00657319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hyperlink r:id="rId24" w:history="1">
        <w:r w:rsidR="00DF0A77" w:rsidRPr="00DF0A77">
          <w:rPr>
            <w:rFonts w:ascii="inherit" w:eastAsia="Times New Roman" w:hAnsi="inherit" w:cs="Times New Roman"/>
            <w:color w:val="000000"/>
            <w:sz w:val="27"/>
            <w:szCs w:val="27"/>
            <w:bdr w:val="none" w:sz="0" w:space="0" w:color="auto" w:frame="1"/>
            <w:lang w:eastAsia="ru-RU"/>
          </w:rPr>
          <w:br w:type="textWrapping" w:clear="all"/>
        </w:r>
      </w:hyperlink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Приложение А1. Состав рабочей группы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Куцев Сергей Иванович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 чл.-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корр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РАМН, д.м.н., директор ФГБНУ "Медико-генетический научный центр им. академика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Н.П.Бочкова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", Президент Ассоциации медицинских генетиков (АМГ).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Баранов Александр Александрович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академик РАН, профессор, д.м.н., почетный председатель Исполкома Союза педиатров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Намазова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-Баранова Лейла </w:t>
      </w: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Сеймуровна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академик РАН, профессор, д.м.н., Председатель Исполкома Союза педиатров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Антипенко Елена Андреевна 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- доцент, д.м.н., доцент кафедры неврологии, психиатрии и наркологи ФГБОУ ВО «Приволжский исследовательский медицинский университет» Минздрава России, член Всероссийского общества неврологов.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Вашакмадзе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Нато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Джумберовна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доцент кафедры факультетской педиатрии ПФ ФГБОУ ВО РНИМУ имени Н.И. Пирогова, Институт педиатрии и охраны здоровья детей ЦКБ РАН, член Союза педиатров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Волгина Светлана Яковлевна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профессор кафедры ФГБОУ ВО «Казанский государственный медицинский университет» Минздрава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Захарова Екатерина Юрьевна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- д.м.н., заведующая лабораторией наследственных болезней обмена ФГБНУ "Медико-генетический научный центр им. академика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Н.П.Бочкова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", член Российского общества медицинских генетиков, член европейского общества по изучению наследственных болезней обмена веществ (SSIEM).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Копишинская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Светлана Васильевна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- к.м.н., доцент кафедры неврологии, психиатрии и наркологии ФДПО ФГБОУ ВО «Приволжский исследовательский медицинский университет» Минздрава России, член Европейской академии неврологии, член Рабочей группы по боли Европейской академии неврологии, член Европейской Сети по болезни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Гентингтона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член Президиума Национального Совета экспертов по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орфанным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заболеваниям, член Российского общества по нервно-мышечным заболеваниям.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Костик Михаил Михайлович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доцент кафедры госпитальной педиатрии ФГБОУ ВО Санкт-Петербургский государственный педиатрический медицинский университет Минздравсоцразвития России, Санкт-Петербург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Кузенкова Людмила Михайловна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заведующая отделением психоневрологии и психосоматической патологии ФГАУ "Научный медицинский исследовательский центр здоровья детей" МЗ РФ, член Союза педиатров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Ларионова Валентина Ильинична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ФГБНУ "Институт экспериментальной медицины", член Российского общества медицинских генетиков.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Максимова Юлия Владимировна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профессор, зав. кафедрой медицинской генетики и биологии ФГБОУ ВО «Новосибирский государственный медицинский университет» Минздрава России, зав. медико-генетическим отделом ГБУЗ НСО "ГКБ № 1", член Ассоциации медицинских генетиков (АМГ).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Михайлова Светлана Витальевна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заведующая отделением ФГБУ «Российская Детская Клиническая Больница» МЗ РФ.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Моисеев Сергей Валентинович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заведующий кафедрой внутренних, профессиональных болезней и ревматологии ФГАОУ ВО Первый МГМУ им. И.М. Сеченова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Сеченовский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университет) МЗ РФ.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Пушков Александр Алексеевич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-к.б.н.,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в.н.с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 лаборатории молекулярной генетики и клеточной биологии ФГАУ "Научный медицинский исследовательский центр здоровья детей" МЗ РФ, член Союза педиатров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Подклетнова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Татьяна Владимировна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- к.м.н.,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с.н.с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 лаборатории редких наследственных болезней у детей ФГАУ "Научный медицинский исследовательский центр здоровья детей" МЗ РФ, член Союза педиатров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Савостьянов Кирилл Викторович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к.б.н., заведующий лабораторией молекулярной генетики и клеточной биологии ФГАУ "Научный медицинский исследовательский центр здоровья детей" МЗ РФ, член Союза педиатров России.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Салогуб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Галина Николаевна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к.м.н., доцент, заведующая кафедрой внутренних болезней ФГБУ «СЗФМИЦ имени В. А. Алмазова» МЗ РФ.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proofErr w:type="spell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Семячкина</w:t>
      </w:r>
      <w:proofErr w:type="spell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Алла Николаевна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- д.м.н.,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г.н.с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 отделения клинической генетики ФГБУ «Московский НИИ педиатрии и детской хирургии Минздрава России», член Ассоциации медицинских генетиков (АМГ).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Соколов Алексей Альбертович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 - д.м.н., профессор кафедры внутренних болезней и нефрологии ГБОУ ВПО «Северо-Западный государственный медицинский университет им. И.И. Мечникова»,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с.н.с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., начальник отделения Клинического Центра экстракорпоральной детоксикации Военно-медицинской академии, ведущий научный сотрудник, руководитель группы по изучению редких болезней Научно-исследовательского института экспериментальной медицины СЗО РАМН, член Санкт-Петербургского общества медицинской генетики, Председатель Совета экспертов Национальной ассоциации организаций больных редкими заболеваниями «Генетика», член Медицинского Совета Экспертов CEE GN (Центральной и Восточно-Европейской Генетической Сети).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Томилина Наталья Аркадьевна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д.м.н., профессор, ФГБУ НИМЦ трансплантологии и искусственных органов им академика В. И. Шумакова.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Фомин Виктор Викторович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чл.-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корр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РАМН, д.м.н., проректор по клинической работе и дополнительному профессиональному образованию, заведующий кафедрой факультетской терапии №1ФГАОУ ВО Первый МГМУ им. И.М. Сеченова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Сеченовский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университет) МЗ РФ.</w:t>
      </w:r>
    </w:p>
    <w:p w:rsidR="00DF0A77" w:rsidRPr="00DF0A77" w:rsidRDefault="00DF0A77" w:rsidP="00DF0A77">
      <w:pPr>
        <w:numPr>
          <w:ilvl w:val="0"/>
          <w:numId w:val="48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Удалова Ольга Васильевна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- к.м.н., ООО «Медико-генетический центр «Геном»», председатель Нижегородского отделения РОМГ, руководитель Центра медицинской генетики ФГБОУ ВО «ПИМУ» Минздрава России, г. Нижний Новгород.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Авторы подтверждают отсутствие финансовой поддержки/конфликта интересов, который необходимо обнародовать.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Приложение А2. Методология разработки клинических рекомендаций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Настоящие рекомендации предназначены для применения медицинскими организациями и учреждениями федеральных, территориальных и муниципальных органов управления здравоохранением, систем обязательного и добровольного медицинского страхования, другими медицинскими организациями различных организационно-правовых форм деятельности, направленной на оказание медицинской помощи. Клинические рекомендации созданы на основании систематического обзора литературы 1992-2019 гг.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Medline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Pubmed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version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),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Embase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Dialog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version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) 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Cochrane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Library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databases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, с использованием созданных протоколов по лечению БФ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: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Biegstraaten M. et al., Recommendations for initiation and cessation of enzyme replacement therapy in patients with Fabry disease: the European Fabry Working Group consensus document. Orphanet J Rare Dis. 2015; 10:36;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Ramaswami U, Whybra C, Parini R, et al., FOS European Investigators. Clinical manifestations of Fabry disease in children: data from the Fabry Outcome Survey. Acta Paediatr 2006; 95(1): 86–92;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El Dib R, Gomaa H, Ortiz A, Politei J, Kapoor A, Barreto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F  Enzyme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 replacement therapy for Anderson-Fabry disease: A complementary overview of a Cochrane publication through a linear regression and a pooled analysis of proportions from cohort studies. PLoS ONE 2017;12 (3): e0173358;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Alegra T, Vairo F, de Souza MV, Krug BC, Schwartz IV. Enzyme replacement therapy for Fabry disease: A systematic review and meta-analysis. Genet Mol Biol.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2012;35:947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-54;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lastRenderedPageBreak/>
        <w:t>Spada M, Baron R, Elliott PM, et al. The effect of enzyme replacement therapy on clinical outcomes in paediatric patients with Fabry disease - A systematic literature review by a European panel of experts. Mol Genet Metab. 2019;126(3):212-223;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Germain DP, Elliott PM, Falissard B, et al. The effect of enzyme replacement therapy on clinical outcomes in male patients with Fabry disease: A systematic literature review by a European panel of experts. Mol Genet Metab Rep. 2019 Feb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6;19:100454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;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Germain DP, Arad M, Burlina A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>, ,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val="en-US" w:eastAsia="ru-RU"/>
        </w:rPr>
        <w:t xml:space="preserve"> et al. The effect of enzyme replacement therapy on clinical outcomes in female patients with Fabry disease - A systematic literature review by a European panel of experts.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Mol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Genet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Metab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 2018; 126(3):224-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235 .</w:t>
      </w:r>
      <w:proofErr w:type="gramEnd"/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Шкалы оценки уровней достоверности доказательств (УДД) и оценки уровней убедительности рекомендаций (УУР) приведены в таблицах 1-3.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u w:val="single"/>
          <w:bdr w:val="none" w:sz="0" w:space="0" w:color="auto" w:frame="1"/>
          <w:lang w:eastAsia="ru-RU"/>
        </w:rPr>
        <w:t>Целевая аудитория данных клинических рекомендаций: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Врачи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общеи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̆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врачебнои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̆ практики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семейные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врачи);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Врачи-педиатры;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Врачи-терапевты;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Врачи-генетики;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Врачи-лабораторные генетики;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Врачи-нефрологи;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Врачи-кардиологи;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 детские-кардиологи;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Врачи-неврологи;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Врачи-гастроэнтерологи;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Врачи-эндоскописты;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Врачи-рентгенологи;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Врачи-дерматовенерологи;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Врачи-офтальмологи;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Врачи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функциональнои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̆ диагностики;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Врачи-психиатры;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Медицинские психологи;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Студенты медицинских ВУЗов;</w:t>
      </w:r>
    </w:p>
    <w:p w:rsidR="00DF0A77" w:rsidRPr="00DF0A77" w:rsidRDefault="00DF0A77" w:rsidP="00DF0A77">
      <w:pPr>
        <w:numPr>
          <w:ilvl w:val="0"/>
          <w:numId w:val="49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Обучающиеся в ординатуре и интернатуре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Приложение 1.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Шкала оценки уровней достоверности доказательств (УДД) для методов диагностики (диагностических вмешательств)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378"/>
      </w:tblGrid>
      <w:tr w:rsidR="00DF0A77" w:rsidRPr="00DF0A77" w:rsidTr="00DF0A77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УДД</w:t>
            </w:r>
          </w:p>
        </w:tc>
        <w:tc>
          <w:tcPr>
            <w:tcW w:w="4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Расшифровка</w:t>
            </w:r>
          </w:p>
        </w:tc>
      </w:tr>
      <w:tr w:rsidR="00DF0A77" w:rsidRPr="00DF0A77" w:rsidTr="00DF0A77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Систематические обзоры исследований с контролем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референсным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методом или систематический обзор рандомизированных клинических исследований с применением мета-анализа</w:t>
            </w:r>
          </w:p>
        </w:tc>
      </w:tr>
      <w:tr w:rsidR="00DF0A77" w:rsidRPr="00DF0A77" w:rsidTr="00DF0A77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Отдельные исследования с контролем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референсным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DF0A77" w:rsidRPr="00DF0A77" w:rsidTr="00DF0A77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Исследования без последовательного контроля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референсным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методом или исследования с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референсным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нерандомизированные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сравнительные исследования, в том числе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когортные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исследования</w:t>
            </w:r>
          </w:p>
        </w:tc>
      </w:tr>
      <w:tr w:rsidR="00DF0A77" w:rsidRPr="00DF0A77" w:rsidTr="00DF0A77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Несравнительные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исследования, описание клинического случая</w:t>
            </w:r>
          </w:p>
        </w:tc>
      </w:tr>
      <w:tr w:rsidR="00DF0A77" w:rsidRPr="00DF0A77" w:rsidTr="00DF0A77"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4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Имеется лишь обоснование механизма действия или мнение экспертов</w:t>
            </w:r>
          </w:p>
        </w:tc>
      </w:tr>
    </w:tbl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Приложение 2.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Шкала оценки уровней достоверности доказательств (УДД) для методов профилактики, лечения и реабилитации (профилактических, лечебных, реабилитационных вмешательств)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3659"/>
      </w:tblGrid>
      <w:tr w:rsidR="00DF0A77" w:rsidRPr="00DF0A77" w:rsidTr="00DF0A7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УДД</w:t>
            </w:r>
          </w:p>
        </w:tc>
        <w:tc>
          <w:tcPr>
            <w:tcW w:w="4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Расшифровка</w:t>
            </w:r>
          </w:p>
        </w:tc>
      </w:tr>
      <w:tr w:rsidR="00DF0A77" w:rsidRPr="00DF0A77" w:rsidTr="00DF0A7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Систематический обзор РКИ с применением мета-анализа</w:t>
            </w:r>
          </w:p>
        </w:tc>
      </w:tr>
      <w:tr w:rsidR="00DF0A77" w:rsidRPr="00DF0A77" w:rsidTr="00DF0A7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DF0A77" w:rsidRPr="00DF0A77" w:rsidTr="00DF0A7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Нерандомизированные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сравнительные исследования, в т.ч.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когортные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исследования</w:t>
            </w:r>
          </w:p>
        </w:tc>
      </w:tr>
      <w:tr w:rsidR="00DF0A77" w:rsidRPr="00DF0A77" w:rsidTr="00DF0A7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Несравнительные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исследования, описание клинического случая или серии случаев, исследования «случай-контроль»</w:t>
            </w:r>
          </w:p>
        </w:tc>
      </w:tr>
      <w:tr w:rsidR="00DF0A77" w:rsidRPr="00DF0A77" w:rsidTr="00DF0A77"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Приложение 3.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2496"/>
      </w:tblGrid>
      <w:tr w:rsidR="00DF0A77" w:rsidRPr="00DF0A77" w:rsidTr="00DF0A77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УУР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Расшифровка</w:t>
            </w:r>
          </w:p>
        </w:tc>
      </w:tr>
      <w:tr w:rsidR="00DF0A77" w:rsidRPr="00DF0A77" w:rsidTr="00DF0A77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A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DF0A77" w:rsidRPr="00DF0A77" w:rsidTr="00DF0A77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DF0A77" w:rsidRPr="00DF0A77" w:rsidTr="00DF0A77"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C</w:t>
            </w:r>
          </w:p>
        </w:tc>
        <w:tc>
          <w:tcPr>
            <w:tcW w:w="4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</w:t>
            </w:r>
          </w:p>
        </w:tc>
      </w:tr>
    </w:tbl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Порядок обновления клинических рекомендаций.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КР, но не чаще 1 раза в 6 месяцев.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А3. Связанные документы</w:t>
      </w:r>
    </w:p>
    <w:p w:rsidR="00DF0A77" w:rsidRPr="00DF0A77" w:rsidRDefault="00DF0A77" w:rsidP="00DF0A77">
      <w:pPr>
        <w:numPr>
          <w:ilvl w:val="0"/>
          <w:numId w:val="50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Приказ Министерства здравоохранения РФ "Об утверждении Порядка оказания медицинской помощи больным с врожденными и (или) наследственными заболеваниями" от 15 ноября 2012 г. N 917н).</w:t>
      </w:r>
    </w:p>
    <w:p w:rsidR="00DF0A77" w:rsidRPr="00DF0A77" w:rsidRDefault="00DF0A77" w:rsidP="00DF0A77">
      <w:pPr>
        <w:numPr>
          <w:ilvl w:val="0"/>
          <w:numId w:val="50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Клинические рекомендации «Гипертрофическая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кардиомиопатия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» ID: КР283, (</w:t>
      </w:r>
      <w:hyperlink r:id="rId25" w:history="1">
        <w:r w:rsidRPr="00DF0A77">
          <w:rPr>
            <w:rFonts w:ascii="inherit" w:eastAsia="Times New Roman" w:hAnsi="inherit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http://cr.rosminzdrav.ru/)</w:t>
        </w:r>
      </w:hyperlink>
    </w:p>
    <w:p w:rsidR="00DF0A77" w:rsidRPr="00DF0A77" w:rsidRDefault="00657319" w:rsidP="00DF0A77">
      <w:pPr>
        <w:numPr>
          <w:ilvl w:val="0"/>
          <w:numId w:val="50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hyperlink r:id="rId26" w:history="1">
        <w:r w:rsidR="00DF0A77" w:rsidRPr="00DF0A77">
          <w:rPr>
            <w:rFonts w:ascii="inherit" w:eastAsia="Times New Roman" w:hAnsi="inherit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Методическое руководство «Трансплантация почки» ID: МР34 (</w:t>
        </w:r>
      </w:hyperlink>
      <w:hyperlink r:id="rId27" w:history="1">
        <w:r w:rsidR="00DF0A77" w:rsidRPr="00DF0A77">
          <w:rPr>
            <w:rFonts w:ascii="inherit" w:eastAsia="Times New Roman" w:hAnsi="inherit" w:cs="Times New Roman"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http://cr.rosminzdrav.ru/)</w:t>
        </w:r>
      </w:hyperlink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Б. Алгоритмы ведения пациента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noProof/>
        </w:rPr>
        <w:lastRenderedPageBreak/>
        <w:drawing>
          <wp:inline distT="0" distB="0" distL="0" distR="0">
            <wp:extent cx="5940425" cy="6982460"/>
            <wp:effectExtent l="0" t="0" r="3175" b="8890"/>
            <wp:docPr id="3" name="Picture 3" descr="C:\Users\I0445923\AppData\Local\Microsoft\Windows\INetCache\Content.MSO\570883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0445923\AppData\Local\Microsoft\Windows\INetCache\Content.MSO\57088318.tmp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Приложение В. Информация для пациентов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Болезнь Фабри (БФ) или болезнь Андерсона-Фабри – редкое наследственное заболевание, которое относится к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лизосомным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болезням накопления.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Клинические проявления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При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болезни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Фабри страдают практические все системы органов. У многих наблюдаются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нейропатическая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боль (жгучие боли в кистях и стопах, усиливающиеся в жаркую погоду, при физической нагрузке), кожные проявления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), нарушение потоотделения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гипо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-,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ангидроз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), поражение периферической и центральной нервной системы (инсульт), почек, сердца, органа зрения (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вихревидная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кератопатия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), желудочно-кишечного тракта.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При классической форме заболевание начинается в 4-12 лет и характеризуется периодическими болями преимущественно в кистях и стопах, иногда боль локализуется в животе и приступы напоминают аппендицит. Боли усиливаются при повышении температуры тела, физических нагрузках, в жаркую и холодную погоду. Боли могут протекать по типу кризов. С возрастом болевые кризы обычно уменьшаются.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Одним из ярких симптомов являются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которые есть практически у всех пациентов. По размеру это небольшие, с булавочную головку, образования — красного или багрового цвета, плоские или приподнятые над поверхностью кожи. Чаще всего появляются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 нижней части живота, распространяясь на другие участки тела. Они не причиняют особого беспокойства — только если не затрагивают всю поверхность тела.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Поражение почек при БФ наблюдается практически у всех мужчин и у многих женщин после 40 лет, что приводит к почечной недостаточности и требует проведение гемодиализа.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 многих пациентов с возрастом развивается гипертрофия миокарда, катаракта и нарушение слуха.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Сходные случаи заболеваний в семье, почечная недостаточность, ранние инсульты, лихорадка неясного генеза, боли в животе, кистях и стопах,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Причины </w:t>
      </w: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болезни</w:t>
      </w:r>
      <w:proofErr w:type="gramEnd"/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Фабри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Болезнь обусловлена мутациями в гене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GLA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, который кодирует фермент α-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галактозидазу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А (А-ГАЛ А). Этот фермент участвует в реакциях расщепления особых жиров-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гликосфинголипидов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. В результате недостаточности фермента происходит накопление -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гликосфинголипидов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в различных органах и тканях.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Ген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GLA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расположен на Х-хромосоме и заболевание имеет Х-сцепленный тип наследования. Но в отличии от многих других Х-сцепленных рецессивных заболеваний, 60-70% женщин – гетерозиготных носительниц имеют клинические проявления, причем иногда такие же тяжелые, как и у больных мужчин.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Долгое время считалось, что БФ очень редкое заболевание, но скрининговое исследование в Италии показало удивительно высокую частоту этой болезни: 1:3100 новорожденных мальчиков имели низкую активность А-ГАЛ А и мутации в гене GLA. Поэтому возможно, что многие случаи заболевания так и остаются не диагностированными.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Чтобы выявить БФ, во многих странах, в том числе в России, обследуют пациентов из отделений гемодиализа, неврологических и кардиологических стационаров.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Как устанавливают диагноз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   Врачи на основании клинических симптомов могут заподозрить болезнь. Затем проводятся лабораторные тесты и инструментальное исследование.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Точный диагноз можно установить, измерив активность фермента, или определив концентрацию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лизосфинголипида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-lysoGb3 в крови. Для этого достаточно собрать кровь на карточку-фильтр из пальца или из вены. Такие карточки есть в любой медико-генетической консультации и в поликлинике.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Точный диагноз важен для медико-генетического консультирования, пренатальной диагностики заболевания, установления носительства.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Лечение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Для БФ разработан эффективный метод лечения – ферментная-заместительная терапия (ФЗТ), поэтому ранняя диагностика заболевания имеет большое практическое значение. К сожалению, часть случаев диагностируется на поздних стадиях болезни, что не дает возможность получить значительный эффект ФЗТ. Однако, на любой стадии болезни начало ФЗТ позволяет замедлить прогрессирование и смягчить клинические симптомы.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Роль семьи и пациента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На примере БФ можно показать важность составления родословной и обследования родственников. Считается, что, установив диагноз у одного пациента, при обследовании родственников можно найти еще 5 больных на разных стадиях болезни - от практически бессимптомной до тяжелой.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Пациенты с БФ могут помочь своим родным, просто сообщив им о необходимости пройти диагностику. Если диагноз будет установлен рано – до начала необратимых изменений внутренних органов, лечение будет гораздо эффективнее. Лечащий врач или врач-генетик не имеет права разглашать медицинскую информацию, поэтому судьба родных – целиком в руках самих пациентов.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Родные братья и сестры, все родственники по материнской линии – дяди, тети и двоюродные братья и сестры должны быть проинформированы о необходимости тестирования. В семьях болезнь может проявляться по-разному. У мужчин частым осложнением после 40 лет является почечная недостаточность. Но в раннем возрасте основная жалоба – это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акропарастезии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, </w:t>
      </w:r>
      <w:proofErr w:type="spell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ангиокератомы</w:t>
      </w:r>
      <w:proofErr w:type="spell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. Женщин могут беспокоить боли, а почечная недостаточность встречается реже и может развиваться в позднем возрасте. Проведение молекулярно-генетического анализа, направленного на выявление семейной мутации гена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GLA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показано следующим родственникам пациента: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Для пробанда мужского пола: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мать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дочери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братья и сестры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сводные братья и сестры по матери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дед по материнской линии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бабушка по материнской линии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 дочерей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братья и сестры матери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дочери братьев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 сестер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дочери племянников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 племянниц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двоюродные братья и сестры по материнской линии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дочери внуков (правнучки) по линии дочерей</w:t>
      </w:r>
    </w:p>
    <w:p w:rsidR="00DF0A77" w:rsidRPr="00DF0A77" w:rsidRDefault="00DF0A77" w:rsidP="00DF0A77">
      <w:pPr>
        <w:numPr>
          <w:ilvl w:val="0"/>
          <w:numId w:val="51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 внучек (правнуки и правнучки) по линии дочерей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Для пробанда женского пола: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мать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отец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бабушка по материнской линии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дедушка по материнской линии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бабушка по отцовской линии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дедушка по отцовской линии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братья и сестры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сводные братья и сестры по материнской линии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сводные сестры по отцовской линии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внуки и внучки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братья и сестры матери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братья и сестры отца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дочери братьев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 сестер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дочери внуков (правнучки)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 внучек (правнуки и правнучки)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двоюродные братья и сестры по линии матери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двоюродные братья и сестры по линии отца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дочери племянников</w:t>
      </w:r>
    </w:p>
    <w:p w:rsidR="00DF0A77" w:rsidRPr="00DF0A77" w:rsidRDefault="00DF0A77" w:rsidP="00DF0A77">
      <w:pPr>
        <w:numPr>
          <w:ilvl w:val="0"/>
          <w:numId w:val="52"/>
        </w:numPr>
        <w:spacing w:after="0" w:line="390" w:lineRule="atLeast"/>
        <w:ind w:left="300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дети племянниц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Приложение Г.</w:t>
      </w:r>
    </w:p>
    <w:p w:rsidR="00DF0A77" w:rsidRPr="00DF0A77" w:rsidRDefault="00DF0A77" w:rsidP="00DF0A77">
      <w:pPr>
        <w:spacing w:before="750" w:after="4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Приложение Г1. Выраженность клинических проявлений БФ в разном возрасте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3550"/>
        <w:gridCol w:w="3550"/>
      </w:tblGrid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Подростки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Взрослые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Акропарестезии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Акропарестезии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Акропарестезии</w:t>
            </w:r>
            <w:proofErr w:type="spellEnd"/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Боль в конечностях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Боль в конечностях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Боль в конечностях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Поражения хрусталика и роговицы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Поражения хрусталика и роговицы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Поражения хрусталика и роговицы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Лихорадка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Лихорадка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Лихорадка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Тепловая и холодовая непереносимость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Тепловая и холодовая непереносимость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Тепловая и холодовая непереносимость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Психосоциальные изменения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Психосоциальные изменения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Психосоциальные изменения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Снижение слуха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Протеинурия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Протеинурия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Желудочно-кишечные симптомы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Желудочно-кишечные симптомы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Ангиокератомы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Ангиокератомы</w:t>
            </w:r>
            <w:proofErr w:type="spellEnd"/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Утомляемость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Утомляемость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Снижение слуха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Почечная недостаточность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Сердечная недостаточность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Инсульт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Снижение слуха и шум в ушах</w:t>
            </w:r>
          </w:p>
        </w:tc>
      </w:tr>
      <w:tr w:rsidR="00DF0A77" w:rsidRPr="00DF0A77" w:rsidTr="00DF0A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Лимфедема</w:t>
            </w:r>
            <w:proofErr w:type="spellEnd"/>
          </w:p>
        </w:tc>
      </w:tr>
    </w:tbl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Примечание: </w:t>
      </w:r>
      <w:r w:rsidRPr="00DF0A77">
        <w:rPr>
          <w:rFonts w:ascii="inherit" w:eastAsia="Times New Roman" w:hAnsi="inherit" w:cs="Times New Roman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у женщин с БФ симптомы проявляются позже и выраженность их различна</w:t>
      </w:r>
    </w:p>
    <w:p w:rsidR="00DF0A77" w:rsidRPr="00DF0A77" w:rsidRDefault="00DF0A77" w:rsidP="00DF0A77">
      <w:pPr>
        <w:spacing w:before="750" w:after="4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 xml:space="preserve">Приложение Г2. Дифференциальная диагностика </w:t>
      </w: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болезни</w:t>
      </w:r>
      <w:proofErr w:type="gramEnd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 xml:space="preserve"> Фабри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7380"/>
      </w:tblGrid>
      <w:tr w:rsidR="00DF0A77" w:rsidRPr="00DF0A77" w:rsidTr="00DF0A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Тип нарушения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Диагноз</w:t>
            </w:r>
          </w:p>
        </w:tc>
      </w:tr>
      <w:tr w:rsidR="00DF0A77" w:rsidRPr="00DF0A77" w:rsidTr="00DF0A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Ангиокератиомы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Петехиальная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сыпь, наследственная геморрагическая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телангиэктазия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Рендю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Ослера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-Вебера,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ангиокератома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Фордайса,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ангиокератома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Мибелли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ограниченная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невиформная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ангиокератома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туловища, болезнь Шиндлера,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фукозидоз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ганглиозидоз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аспартатглюкозаминурия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сиалидоз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DF0A77" w:rsidRPr="00DF0A77" w:rsidTr="00DF0A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Болевой синдром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Диабетическая и алкогольная болевая полиневропатия,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порфирийная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полиневропатия. ревматоидный артрит, ревматическая лихорадка,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эритромелалгия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, синдрома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Рейно</w:t>
            </w:r>
            <w:proofErr w:type="spellEnd"/>
          </w:p>
        </w:tc>
      </w:tr>
      <w:tr w:rsidR="00DF0A77" w:rsidRPr="00DF0A77" w:rsidTr="00DF0A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Почечная патология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Хронический латентный гломерулонефрит, интерстициальный нефрит</w:t>
            </w:r>
          </w:p>
        </w:tc>
      </w:tr>
      <w:tr w:rsidR="00DF0A77" w:rsidRPr="00DF0A77" w:rsidTr="00DF0A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Сердечно-сосудистая система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Кардиомегалия, аритмия неясного генеза</w:t>
            </w:r>
          </w:p>
        </w:tc>
      </w:tr>
      <w:tr w:rsidR="00DF0A77" w:rsidRPr="00DF0A77" w:rsidTr="00DF0A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Офтальмологические нарушения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Лекарственные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офтальмопатии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(при применении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хлорохинов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, амиодарона)</w:t>
            </w:r>
          </w:p>
        </w:tc>
      </w:tr>
      <w:tr w:rsidR="00DF0A77" w:rsidRPr="00DF0A77" w:rsidTr="00DF0A7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Желудочно-кишечный тракт.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Синдром раздраженного кишечника, болезнь Крона</w:t>
            </w:r>
          </w:p>
        </w:tc>
      </w:tr>
    </w:tbl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p w:rsidR="00DF0A77" w:rsidRPr="00DF0A77" w:rsidRDefault="00DF0A77" w:rsidP="00DF0A77">
      <w:pPr>
        <w:spacing w:before="750" w:after="4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Приложение Г3. Критерии назначения ФЗТ</w:t>
      </w:r>
    </w:p>
    <w:tbl>
      <w:tblPr>
        <w:tblW w:w="11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1610"/>
        <w:gridCol w:w="2835"/>
        <w:gridCol w:w="2192"/>
        <w:gridCol w:w="1717"/>
        <w:gridCol w:w="2426"/>
        <w:gridCol w:w="1588"/>
      </w:tblGrid>
      <w:tr w:rsidR="00DF0A77" w:rsidRPr="00DF0A77" w:rsidTr="00DF0A7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Без признаков и симптомов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Почечные*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Сердечные*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ЦНС*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Боль*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ЖКТ*</w:t>
            </w:r>
          </w:p>
        </w:tc>
      </w:tr>
      <w:tr w:rsidR="00DF0A77" w:rsidRPr="00DF0A77" w:rsidTr="00DF0A7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Классическая БФ, мужчины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Дебют в возрасте 16 лет и старше (Класс 2B)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протеинурия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почечная недостаточность (СКФ 60-90)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45-60)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гипертрофия миокарда (МТС &gt;12 мм) без (или с минимальными проявлениями) фиброза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признаки нарушения сердечного ритма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ПБВ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невропатическая боль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боль, даже при условии полного контроля ее 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ЖК симптомы </w:t>
            </w:r>
          </w:p>
        </w:tc>
      </w:tr>
      <w:tr w:rsidR="00DF0A77" w:rsidRPr="00DF0A77" w:rsidTr="00DF0A7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Неклассическая БФ, мужчины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-протеинурия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60-90)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45-60)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гипертрофия миокарда (МТС &gt;12 мм) без (или с минимальными проявлениями) фиброза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признаки нарушения сердечного ритма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ПБВ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боль, даже при условии полного контроля ее 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ЖК симптомы </w:t>
            </w:r>
          </w:p>
        </w:tc>
      </w:tr>
      <w:tr w:rsidR="00DF0A77" w:rsidRPr="00DF0A77" w:rsidTr="00DF0A7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Классическая БФ, женщины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(Класс 2В)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-протеинурия (Класс 2В)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60-90) (Класс 2А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45-60) (Класс 2В)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гипертрофия миокарда (МТС &gt;12 мм) без (или с минимальными проявлениями) фиброза (Класс I)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признаки нарушения сердечного ритма (Класс I)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ПБВ (Класс 2В)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 (Класс 2А)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 (Класс 2В)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 (Класс 2А)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боль, даже при условии полного контроля ее 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(Класс 2В)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ЖК симптомы </w:t>
            </w:r>
          </w:p>
        </w:tc>
      </w:tr>
      <w:tr w:rsidR="00DF0A77" w:rsidRPr="00DF0A77" w:rsidTr="00DF0A7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Неклассическая БФ, женщины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-протеинурия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60-90)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45-60)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гипертрофия миокарда (МТС &gt;12 мм) без (или с минимальными проявлениями) фиброза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признаки нарушения сердечного ритма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ПБВ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боль, даже при условии полного контроля ее 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ЖК симптомы </w:t>
            </w:r>
          </w:p>
        </w:tc>
      </w:tr>
    </w:tbl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tbl>
      <w:tblPr>
        <w:tblW w:w="11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606"/>
        <w:gridCol w:w="2864"/>
        <w:gridCol w:w="2186"/>
        <w:gridCol w:w="1713"/>
        <w:gridCol w:w="2420"/>
        <w:gridCol w:w="1584"/>
      </w:tblGrid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Без признаков и симптомов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Почечные*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Сердечные*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ЦНС*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Боль*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ЖКТ*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Классическая БФ, 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Дебют в возрасте 16 лет и старше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-протеинурия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60-90)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45-60)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гипертрофия миокарда (МТС &gt;12 мм) без (или с минимальными проявлениями) фиброза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признаки нарушения сердечного ритма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ПБВ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-невропатическая боль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боль, даже при условии полного контроля ее 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ЖК симптомы 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Неклассическая БФ, 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</w:t>
            </w:r>
            <w:proofErr w:type="spellEnd"/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буминурия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-протеин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60-90)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почечная недостаточность (СКФ 45-60)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 xml:space="preserve">-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гипертро</w:t>
            </w:r>
            <w:proofErr w:type="spellEnd"/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фия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миокарда (МТС &gt;12 мм) без (или с минимальными проявлениями) фиброза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признаки нарушения сердечного ритма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ПБВ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невропатическая боль, даже при условии полного контроля ее </w:t>
            </w: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ЖК симптомы 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Классическая БФ,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-протеинурия - почечная недостаточность (СКФ 60-90)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45-60)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гипертрофия миокарда (МТС &gt;12 мм) без (или с минимальными проявлениями) фиброза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признаки нарушения сердечного ритма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ПБВ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боль, даже при условии полного контроля ее 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ЖК симптомы 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Неклассическая БФ, женщины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-протеинурия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почечная недостаточность (СКФ 60-90)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почечная недостаточность (СКФ 45-60)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гипертрофия миокарда (МТС &gt;12 мм) без (или с минимальными проявлениями) фиброза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признаки нарушения сердечного ритма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ПБВ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ТИА / инсульт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потеря слуха с коррекцией по возрасту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- невропатическая боль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- невропатическая боль, даже при условии полного контроля ее </w:t>
            </w: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болеутоляющими (не влияет на ежедневную активность)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- ЖК симптомы </w:t>
            </w:r>
          </w:p>
        </w:tc>
      </w:tr>
    </w:tbl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 </w:t>
      </w:r>
    </w:p>
    <w:p w:rsidR="00DF0A77" w:rsidRPr="00DF0A77" w:rsidRDefault="00DF0A77" w:rsidP="00DF0A77">
      <w:pPr>
        <w:spacing w:before="750" w:after="4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Приложение Г4. Критерии отмены ФЗТ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 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Критерии отмены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Пропуск </w:t>
            </w:r>
            <w:proofErr w:type="gram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пациентом &gt;</w:t>
            </w:r>
            <w:proofErr w:type="gram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50% инфузий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Постоянные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жизнеугрожающие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или тяжелые связанные с инфузией реакции, не реагирующие на профилактику, например анафилаксия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Желание пациента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Терминальная стадия болезни почек, без возможности пересадки почки, в сочетании с тяжелой сердечной недостаточностью (IV класс по NYHA)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Терминальная БФ или иные сопутствующие заболевания при ожидаемой продолжительности жизни менее 1 года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Тяжелый когнитивный дефицит любой этиологии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Отсутствие ответа в течение 1 года, если единственным показанием к ФЗТ является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нейропатическая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боль, при условии максимального объема поддерживающей терапии*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Критерии противопоказаний к началу ФЗТ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Тяжелое заболевание сердца с распространенным фиброзом, если поражение сердца является единственным показанием к ФЗТ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Терминальная стадия болезни почек, без возможности пересадки почки, в сочетании с тяжелой сердечной недостаточностью (IV класс по NYHA)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Терминальная БФ или иные сопутствующие заболевания при ожидаемой продолжительности жизни менее 1 года</w:t>
            </w:r>
          </w:p>
        </w:tc>
      </w:tr>
      <w:tr w:rsidR="00DF0A77" w:rsidRPr="00DF0A77" w:rsidTr="00DF0A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Тяжелый когнитивный дефицит любой этиологии</w:t>
            </w:r>
          </w:p>
        </w:tc>
      </w:tr>
    </w:tbl>
    <w:p w:rsidR="00DF0A77" w:rsidRPr="00DF0A77" w:rsidRDefault="00DF0A77" w:rsidP="00DF0A77">
      <w:pPr>
        <w:spacing w:before="750" w:after="45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 xml:space="preserve">Приложение Г5. Мониторирование пациентов с </w:t>
      </w:r>
      <w:proofErr w:type="gramStart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болезнью</w:t>
      </w:r>
      <w:proofErr w:type="gramEnd"/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 xml:space="preserve"> Фабри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869"/>
        <w:gridCol w:w="1571"/>
        <w:gridCol w:w="1571"/>
        <w:gridCol w:w="1571"/>
      </w:tblGrid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Исследуемый показатель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Исходно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(и до начала ФЗТ)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Каждые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6 </w:t>
            </w:r>
            <w:proofErr w:type="spellStart"/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мес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Каждые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12 </w:t>
            </w:r>
            <w:proofErr w:type="spellStart"/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мес</w:t>
            </w:r>
            <w:proofErr w:type="spellEnd"/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Каждые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 xml:space="preserve">36 </w:t>
            </w:r>
            <w:proofErr w:type="spellStart"/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мес</w:t>
            </w:r>
            <w:proofErr w:type="spellEnd"/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Анамнез, клинический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cтатус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+**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Оценка боли (визуально-аналоговая шкала оценки боли)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Определение активности фермента и ДНК-диагностика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Микроальбуминурия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/ протеинурия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Расчетная СКФ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ЭКГ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+*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Эхокардиография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+*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Холтеровское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мониторирование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+*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МР-томография головного мозга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  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+*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МРТ сердца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Осмотр окулиста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+*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Аудиограмма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+*</w:t>
            </w:r>
          </w:p>
        </w:tc>
      </w:tr>
      <w:tr w:rsidR="00DF0A77" w:rsidRPr="00DF0A77" w:rsidTr="00DF0A77">
        <w:trPr>
          <w:jc w:val="center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Общий и б/х анализ крови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Примечание: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* чаще по показаниям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**- каждый визит</w:t>
      </w:r>
    </w:p>
    <w:p w:rsidR="00DF0A77" w:rsidRPr="00DF0A77" w:rsidRDefault="00DF0A77" w:rsidP="00DF0A77">
      <w:pPr>
        <w:spacing w:before="750" w:after="4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33"/>
          <w:szCs w:val="33"/>
          <w:lang w:eastAsia="ru-RU"/>
        </w:rPr>
        <w:t>Приложение Г6. Забор биоматериала для проведения диагностики в пятнах высушенной крови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857"/>
      </w:tblGrid>
      <w:tr w:rsidR="00DF0A77" w:rsidRPr="00DF0A77" w:rsidTr="00DF0A77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Кровь собирается на стандартную карточку-фильтр (№903), которая применяется для скрининга новорожденных в Российской Федерации или аналогичную для получения сухого пятна крови. Кровь может быть, как капиллярная (из пальца, пятки), так и венозная. </w:t>
            </w: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 xml:space="preserve">Венозная кровь собирается в пробирку, аккуратно перемешивается и затем быстро с помощью пипетки наносится на фильтр по 25-50 </w:t>
            </w:r>
            <w:proofErr w:type="spellStart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мкл</w:t>
            </w:r>
            <w:proofErr w:type="spellEnd"/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 крови на каждую выделенную область. Необходимо хорошо пропитать выделенную область на фильтре (рис. 1). Предпочтительно собирать образцы после еды через 40 минут - 1 час. Возможно также осуществить забор крови и натощак.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На карточке-фильтре обязательно должны быть четко указаны ФИО, кем и откуда направлен пациент, дата рождения и телефон лечащего врача (рисунок 2).</w:t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 xml:space="preserve">Образец сухого пятна крови вкладывается в чистый конверт, либо в чистый файл. Карточка-фильтр не должна соприкасаться с грязной поверхностью и с образцами других </w:t>
            </w: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пациентов. Необходимо приложить к образцам информированные согласия пациента или его законных представителей на проведение лабораторных исследований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noProof/>
              </w:rPr>
              <w:lastRenderedPageBreak/>
              <w:drawing>
                <wp:inline distT="0" distB="0" distL="0" distR="0">
                  <wp:extent cx="3041015" cy="2009775"/>
                  <wp:effectExtent l="0" t="0" r="6985" b="9525"/>
                  <wp:docPr id="2" name="Picture 2" descr="C:\Users\I0445923\AppData\Local\Microsoft\Windows\INetCache\Content.MSO\591490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0445923\AppData\Local\Microsoft\Windows\INetCache\Content.MSO\591490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A77" w:rsidRPr="00DF0A77" w:rsidRDefault="00DF0A77" w:rsidP="00DF0A77">
            <w:pPr>
              <w:spacing w:after="0" w:line="240" w:lineRule="atLeast"/>
              <w:jc w:val="both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lastRenderedPageBreak/>
              <w:t>Рисунок 1. Образец правильного нанесения крови на карточку-фильтр </w:t>
            </w:r>
            <w:r w:rsidRPr="00DF0A77">
              <w:rPr>
                <w:noProof/>
              </w:rPr>
              <w:drawing>
                <wp:inline distT="0" distB="0" distL="0" distR="0">
                  <wp:extent cx="2849245" cy="3891280"/>
                  <wp:effectExtent l="0" t="0" r="8255" b="0"/>
                  <wp:docPr id="1" name="Picture 1" descr="C:\Users\I0445923\AppData\Local\Microsoft\Windows\INetCache\Content.MSO\8F0FB5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0445923\AppData\Local\Microsoft\Windows\INetCache\Content.MSO\8F0FB5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389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A77"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  <w:t> Рисунок 2. Образец карточки-фильтра</w:t>
            </w:r>
          </w:p>
        </w:tc>
      </w:tr>
    </w:tbl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 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Алгоритм действий медицинского персонала при взятии образцов крови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вымыть руки (гигиенический уровень), надеть перчатки;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вымыть руки пациента (пятку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ребенка, в случае, если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кровь берется из пятки);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протереть область прокалывания стерильной салфеткой, смоченной 70% спиртом, промокнуть сухой стерильной салфеткой; - проколоть стерильным одноразовым скарификатором;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снять первую каплю крови стерильным сухим тампоном;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мягко надавить для получения второй капли крови;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приложить перпендикулярно тест-бланк к капле крови и пропитать его кровью насквозь;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аналогичным образом нанести на тест-бланк 6-8 капель, вид пятен крови должен быть одинаковым с обеих сторон.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высушить тест-бланк в горизонтальном положении на чистой обезжиренной поверхности не менее 4 ч без применения тепловой обработки и попадания прямых солнечных лучей;</w:t>
      </w:r>
    </w:p>
    <w:p w:rsidR="00DF0A77" w:rsidRPr="00DF0A77" w:rsidRDefault="00DF0A77" w:rsidP="00DF0A77">
      <w:pPr>
        <w:numPr>
          <w:ilvl w:val="0"/>
          <w:numId w:val="53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упаковать тест-бланки в чистый конверт таким образом, чтобы пятна крови не соприкасались.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Особенности при инфузионной терапии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Некоторые пациенты могут получать инфузионную терапию, переливание компонентов крови, что может оказать влияние на результаты тестов. Например, при переливании плазмы крови могут быть получены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ложно-отрицательные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результаты, так как определяемые ферменты находятся в плазме и в клетках крови. Рекомендуется </w:t>
      </w: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lastRenderedPageBreak/>
        <w:t>осуществить забор крови для ферментной и ДНК-диагностики не 9 ранее чем через 6-7 дней после переливания плазмы крови и через 7-10 дней после переливания компонентов крови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Не допускается забор крови</w:t>
      </w:r>
    </w:p>
    <w:p w:rsidR="00DF0A77" w:rsidRPr="00DF0A77" w:rsidRDefault="00DF0A77" w:rsidP="00DF0A77">
      <w:pPr>
        <w:numPr>
          <w:ilvl w:val="0"/>
          <w:numId w:val="5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сразу после проведения пациенту инфузионной терапии;</w:t>
      </w:r>
    </w:p>
    <w:p w:rsidR="00DF0A77" w:rsidRPr="00DF0A77" w:rsidRDefault="00DF0A77" w:rsidP="00DF0A77">
      <w:pPr>
        <w:numPr>
          <w:ilvl w:val="0"/>
          <w:numId w:val="54"/>
        </w:numPr>
        <w:spacing w:after="0" w:line="390" w:lineRule="atLeast"/>
        <w:ind w:left="315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сразу после заменного переливания крови.</w:t>
      </w:r>
    </w:p>
    <w:p w:rsidR="00DF0A77" w:rsidRPr="00DF0A77" w:rsidRDefault="00DF0A77" w:rsidP="00DF0A77">
      <w:pPr>
        <w:spacing w:after="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Хранение и транспортировка биоматериала</w:t>
      </w:r>
    </w:p>
    <w:p w:rsidR="00DF0A77" w:rsidRPr="00DF0A77" w:rsidRDefault="00DF0A77" w:rsidP="00DF0A77">
      <w:pPr>
        <w:spacing w:after="240" w:line="39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</w:pPr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Образцы высушенных пятен крови можно хранить в обычной камере холодильника при +40С до отправки. Срок хранения до момента отправки не должен превышать 7 дней. Если хранить дольше и при более высокой температуре, то активность фермента даже в норме может снижаться, что приведет к </w:t>
      </w:r>
      <w:proofErr w:type="gramStart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>ложно-положительным</w:t>
      </w:r>
      <w:proofErr w:type="gramEnd"/>
      <w:r w:rsidRPr="00DF0A77">
        <w:rPr>
          <w:rFonts w:ascii="inherit" w:eastAsia="Times New Roman" w:hAnsi="inherit" w:cs="Times New Roman"/>
          <w:color w:val="222222"/>
          <w:sz w:val="27"/>
          <w:szCs w:val="27"/>
          <w:lang w:eastAsia="ru-RU"/>
        </w:rPr>
        <w:t xml:space="preserve"> результатам.</w:t>
      </w:r>
    </w:p>
    <w:p w:rsidR="00F9188F" w:rsidRDefault="00F9188F"/>
    <w:sectPr w:rsidR="00F9188F" w:rsidSect="00C66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6D4E"/>
    <w:multiLevelType w:val="multilevel"/>
    <w:tmpl w:val="4874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5760A"/>
    <w:multiLevelType w:val="multilevel"/>
    <w:tmpl w:val="690E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839AF"/>
    <w:multiLevelType w:val="multilevel"/>
    <w:tmpl w:val="6E48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E50D8"/>
    <w:multiLevelType w:val="multilevel"/>
    <w:tmpl w:val="559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E61226"/>
    <w:multiLevelType w:val="multilevel"/>
    <w:tmpl w:val="E8AE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B1991"/>
    <w:multiLevelType w:val="multilevel"/>
    <w:tmpl w:val="F3BE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A4AD2"/>
    <w:multiLevelType w:val="multilevel"/>
    <w:tmpl w:val="432C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0E334C"/>
    <w:multiLevelType w:val="multilevel"/>
    <w:tmpl w:val="3F0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81A5D"/>
    <w:multiLevelType w:val="multilevel"/>
    <w:tmpl w:val="1F8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516CAA"/>
    <w:multiLevelType w:val="multilevel"/>
    <w:tmpl w:val="EBF6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295E8A"/>
    <w:multiLevelType w:val="multilevel"/>
    <w:tmpl w:val="46C0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F1027"/>
    <w:multiLevelType w:val="multilevel"/>
    <w:tmpl w:val="A290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F231C2"/>
    <w:multiLevelType w:val="multilevel"/>
    <w:tmpl w:val="139C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B02A0"/>
    <w:multiLevelType w:val="multilevel"/>
    <w:tmpl w:val="AC8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40239"/>
    <w:multiLevelType w:val="multilevel"/>
    <w:tmpl w:val="D756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3819CB"/>
    <w:multiLevelType w:val="multilevel"/>
    <w:tmpl w:val="6CB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D47155"/>
    <w:multiLevelType w:val="multilevel"/>
    <w:tmpl w:val="4FBAED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256BB7"/>
    <w:multiLevelType w:val="multilevel"/>
    <w:tmpl w:val="28FA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563C9D"/>
    <w:multiLevelType w:val="multilevel"/>
    <w:tmpl w:val="1FDE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512B20"/>
    <w:multiLevelType w:val="multilevel"/>
    <w:tmpl w:val="3AF0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C47D7E"/>
    <w:multiLevelType w:val="multilevel"/>
    <w:tmpl w:val="3DE2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13F89"/>
    <w:multiLevelType w:val="multilevel"/>
    <w:tmpl w:val="49FC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5502"/>
    <w:multiLevelType w:val="multilevel"/>
    <w:tmpl w:val="0C50A0C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596EEC"/>
    <w:multiLevelType w:val="multilevel"/>
    <w:tmpl w:val="3A3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DB5CA3"/>
    <w:multiLevelType w:val="multilevel"/>
    <w:tmpl w:val="5B52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41A7B"/>
    <w:multiLevelType w:val="multilevel"/>
    <w:tmpl w:val="369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4A099C"/>
    <w:multiLevelType w:val="multilevel"/>
    <w:tmpl w:val="C41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581567"/>
    <w:multiLevelType w:val="multilevel"/>
    <w:tmpl w:val="9244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B73562"/>
    <w:multiLevelType w:val="multilevel"/>
    <w:tmpl w:val="5D029F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73594"/>
    <w:multiLevelType w:val="multilevel"/>
    <w:tmpl w:val="662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EE3B39"/>
    <w:multiLevelType w:val="multilevel"/>
    <w:tmpl w:val="6C0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092C8B"/>
    <w:multiLevelType w:val="multilevel"/>
    <w:tmpl w:val="F23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0738CF"/>
    <w:multiLevelType w:val="multilevel"/>
    <w:tmpl w:val="1564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8D37CD"/>
    <w:multiLevelType w:val="multilevel"/>
    <w:tmpl w:val="C8B67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C0733D"/>
    <w:multiLevelType w:val="multilevel"/>
    <w:tmpl w:val="6346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6D16792"/>
    <w:multiLevelType w:val="multilevel"/>
    <w:tmpl w:val="2744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01186F"/>
    <w:multiLevelType w:val="multilevel"/>
    <w:tmpl w:val="FE2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B570E7"/>
    <w:multiLevelType w:val="multilevel"/>
    <w:tmpl w:val="50EE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EF23CE"/>
    <w:multiLevelType w:val="multilevel"/>
    <w:tmpl w:val="7D54A0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EF7972"/>
    <w:multiLevelType w:val="multilevel"/>
    <w:tmpl w:val="CE0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D8C0A36"/>
    <w:multiLevelType w:val="multilevel"/>
    <w:tmpl w:val="B25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C71825"/>
    <w:multiLevelType w:val="multilevel"/>
    <w:tmpl w:val="03B6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0D2DE7"/>
    <w:multiLevelType w:val="multilevel"/>
    <w:tmpl w:val="6C14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381DB5"/>
    <w:multiLevelType w:val="multilevel"/>
    <w:tmpl w:val="CAD8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6724CA"/>
    <w:multiLevelType w:val="multilevel"/>
    <w:tmpl w:val="2B2EE3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5A1DE4"/>
    <w:multiLevelType w:val="multilevel"/>
    <w:tmpl w:val="D49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BD2315"/>
    <w:multiLevelType w:val="multilevel"/>
    <w:tmpl w:val="31C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D63FB6"/>
    <w:multiLevelType w:val="multilevel"/>
    <w:tmpl w:val="E1BEE2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8214B5"/>
    <w:multiLevelType w:val="multilevel"/>
    <w:tmpl w:val="252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9102B3"/>
    <w:multiLevelType w:val="multilevel"/>
    <w:tmpl w:val="8DFA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B2C23AF"/>
    <w:multiLevelType w:val="multilevel"/>
    <w:tmpl w:val="365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D352F69"/>
    <w:multiLevelType w:val="multilevel"/>
    <w:tmpl w:val="313C2E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F2464E0"/>
    <w:multiLevelType w:val="multilevel"/>
    <w:tmpl w:val="6B3A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F91331D"/>
    <w:multiLevelType w:val="multilevel"/>
    <w:tmpl w:val="3510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6"/>
  </w:num>
  <w:num w:numId="3">
    <w:abstractNumId w:val="35"/>
  </w:num>
  <w:num w:numId="4">
    <w:abstractNumId w:val="37"/>
  </w:num>
  <w:num w:numId="5">
    <w:abstractNumId w:val="0"/>
  </w:num>
  <w:num w:numId="6">
    <w:abstractNumId w:val="18"/>
  </w:num>
  <w:num w:numId="7">
    <w:abstractNumId w:val="7"/>
  </w:num>
  <w:num w:numId="8">
    <w:abstractNumId w:val="27"/>
  </w:num>
  <w:num w:numId="9">
    <w:abstractNumId w:val="45"/>
  </w:num>
  <w:num w:numId="10">
    <w:abstractNumId w:val="49"/>
  </w:num>
  <w:num w:numId="11">
    <w:abstractNumId w:val="1"/>
  </w:num>
  <w:num w:numId="12">
    <w:abstractNumId w:val="39"/>
  </w:num>
  <w:num w:numId="13">
    <w:abstractNumId w:val="21"/>
  </w:num>
  <w:num w:numId="14">
    <w:abstractNumId w:val="12"/>
  </w:num>
  <w:num w:numId="15">
    <w:abstractNumId w:val="20"/>
  </w:num>
  <w:num w:numId="16">
    <w:abstractNumId w:val="40"/>
  </w:num>
  <w:num w:numId="17">
    <w:abstractNumId w:val="4"/>
  </w:num>
  <w:num w:numId="18">
    <w:abstractNumId w:val="17"/>
  </w:num>
  <w:num w:numId="19">
    <w:abstractNumId w:val="11"/>
  </w:num>
  <w:num w:numId="20">
    <w:abstractNumId w:val="23"/>
  </w:num>
  <w:num w:numId="21">
    <w:abstractNumId w:val="9"/>
  </w:num>
  <w:num w:numId="22">
    <w:abstractNumId w:val="41"/>
  </w:num>
  <w:num w:numId="23">
    <w:abstractNumId w:val="52"/>
  </w:num>
  <w:num w:numId="24">
    <w:abstractNumId w:val="2"/>
  </w:num>
  <w:num w:numId="25">
    <w:abstractNumId w:val="3"/>
  </w:num>
  <w:num w:numId="26">
    <w:abstractNumId w:val="13"/>
  </w:num>
  <w:num w:numId="27">
    <w:abstractNumId w:val="50"/>
  </w:num>
  <w:num w:numId="28">
    <w:abstractNumId w:val="48"/>
  </w:num>
  <w:num w:numId="29">
    <w:abstractNumId w:val="15"/>
  </w:num>
  <w:num w:numId="30">
    <w:abstractNumId w:val="26"/>
  </w:num>
  <w:num w:numId="31">
    <w:abstractNumId w:val="10"/>
  </w:num>
  <w:num w:numId="32">
    <w:abstractNumId w:val="25"/>
  </w:num>
  <w:num w:numId="33">
    <w:abstractNumId w:val="36"/>
  </w:num>
  <w:num w:numId="34">
    <w:abstractNumId w:val="42"/>
  </w:num>
  <w:num w:numId="35">
    <w:abstractNumId w:val="34"/>
  </w:num>
  <w:num w:numId="36">
    <w:abstractNumId w:val="5"/>
  </w:num>
  <w:num w:numId="37">
    <w:abstractNumId w:val="19"/>
  </w:num>
  <w:num w:numId="38">
    <w:abstractNumId w:val="14"/>
  </w:num>
  <w:num w:numId="39">
    <w:abstractNumId w:val="51"/>
  </w:num>
  <w:num w:numId="40">
    <w:abstractNumId w:val="38"/>
  </w:num>
  <w:num w:numId="41">
    <w:abstractNumId w:val="33"/>
  </w:num>
  <w:num w:numId="42">
    <w:abstractNumId w:val="44"/>
  </w:num>
  <w:num w:numId="43">
    <w:abstractNumId w:val="28"/>
  </w:num>
  <w:num w:numId="44">
    <w:abstractNumId w:val="47"/>
  </w:num>
  <w:num w:numId="45">
    <w:abstractNumId w:val="22"/>
  </w:num>
  <w:num w:numId="46">
    <w:abstractNumId w:val="16"/>
  </w:num>
  <w:num w:numId="47">
    <w:abstractNumId w:val="43"/>
  </w:num>
  <w:num w:numId="48">
    <w:abstractNumId w:val="53"/>
  </w:num>
  <w:num w:numId="49">
    <w:abstractNumId w:val="30"/>
  </w:num>
  <w:num w:numId="50">
    <w:abstractNumId w:val="31"/>
  </w:num>
  <w:num w:numId="51">
    <w:abstractNumId w:val="32"/>
  </w:num>
  <w:num w:numId="52">
    <w:abstractNumId w:val="6"/>
  </w:num>
  <w:num w:numId="53">
    <w:abstractNumId w:val="8"/>
  </w:num>
  <w:num w:numId="54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77"/>
    <w:rsid w:val="00657319"/>
    <w:rsid w:val="00C06EAC"/>
    <w:rsid w:val="00C66D29"/>
    <w:rsid w:val="00DF0A77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30AE2-B49F-41D1-ACB8-8A01AE7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DF0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DF0A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Normal"/>
    <w:rsid w:val="00DF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DefaultParagraphFont"/>
    <w:rsid w:val="00DF0A77"/>
  </w:style>
  <w:style w:type="paragraph" w:customStyle="1" w:styleId="ng-binding">
    <w:name w:val="ng-binding"/>
    <w:basedOn w:val="Normal"/>
    <w:rsid w:val="00DF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DefaultParagraphFont"/>
    <w:rsid w:val="00DF0A77"/>
  </w:style>
  <w:style w:type="paragraph" w:customStyle="1" w:styleId="ng-scope1">
    <w:name w:val="ng-scope1"/>
    <w:basedOn w:val="Normal"/>
    <w:rsid w:val="00DF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F0A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A7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DF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l">
    <w:name w:val="marginl"/>
    <w:basedOn w:val="Normal"/>
    <w:rsid w:val="00DF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DF0A77"/>
    <w:rPr>
      <w:i/>
      <w:iCs/>
    </w:rPr>
  </w:style>
  <w:style w:type="character" w:styleId="Strong">
    <w:name w:val="Strong"/>
    <w:basedOn w:val="DefaultParagraphFont"/>
    <w:uiPriority w:val="22"/>
    <w:qFormat/>
    <w:rsid w:val="00DF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421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36" w:space="0" w:color="D3D3E8"/>
            <w:right w:val="none" w:sz="0" w:space="0" w:color="auto"/>
          </w:divBdr>
          <w:divsChild>
            <w:div w:id="16118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61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1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897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53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2171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4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2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1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4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6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7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1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1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5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cr.rosminzdrav.ru/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://cr.rosminzdrav.ru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hyperlink" Target="http://www.ncbi.nlm.nih.gov/pubmed/2693739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www.ncbi.nlm.nih.gov/pubmed/26937390" TargetMode="External"/><Relationship Id="rId28" Type="http://schemas.openxmlformats.org/officeDocument/2006/relationships/image" Target="media/image2.png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://cr.rosminzdrav.ru/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13273</Words>
  <Characters>75659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Pavlichenko, Anastasiya /RU</dc:creator>
  <cp:keywords/>
  <dc:description/>
  <cp:lastModifiedBy>Pavlichenko, Anastasiya /RU</cp:lastModifiedBy>
  <cp:revision>5</cp:revision>
  <dcterms:created xsi:type="dcterms:W3CDTF">2020-05-26T01:08:00Z</dcterms:created>
  <dcterms:modified xsi:type="dcterms:W3CDTF">2020-06-02T08:45:00Z</dcterms:modified>
</cp:coreProperties>
</file>